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60F7B" w14:textId="77777777" w:rsidR="008E28DF" w:rsidRDefault="00F863F2" w:rsidP="00F863F2">
      <w:pPr>
        <w:rPr>
          <w:b/>
        </w:rPr>
      </w:pPr>
      <w:r>
        <w:rPr>
          <w:b/>
        </w:rPr>
        <w:t>Cabinet Committee on Perfo</w:t>
      </w:r>
      <w:r w:rsidR="008E28DF">
        <w:rPr>
          <w:b/>
        </w:rPr>
        <w:t>rmance Improvement</w:t>
      </w:r>
    </w:p>
    <w:p w14:paraId="467CB920" w14:textId="4104F0F7" w:rsidR="00F863F2" w:rsidRPr="008E28DF" w:rsidRDefault="00222DF4" w:rsidP="00F863F2">
      <w:r>
        <w:t>Meeting to be held on Tues</w:t>
      </w:r>
      <w:r w:rsidR="008E28DF" w:rsidRPr="008E28DF">
        <w:t xml:space="preserve">day, </w:t>
      </w:r>
      <w:r>
        <w:t>7 March</w:t>
      </w:r>
      <w:r w:rsidR="000D0D79" w:rsidRPr="008E28DF">
        <w:t xml:space="preserve"> 201</w:t>
      </w:r>
      <w:r>
        <w:t>7</w:t>
      </w:r>
      <w:r w:rsidR="008E28DF" w:rsidRPr="008E28DF">
        <w:t>,</w:t>
      </w:r>
      <w:r>
        <w:t xml:space="preserve"> 9.00a</w:t>
      </w:r>
      <w:r w:rsidR="003117FE" w:rsidRPr="008E28DF">
        <w:t>m</w:t>
      </w:r>
    </w:p>
    <w:p w14:paraId="39D6D97E" w14:textId="77777777" w:rsidR="00F863F2" w:rsidRDefault="00F863F2" w:rsidP="00F863F2"/>
    <w:p w14:paraId="02627A96" w14:textId="77777777" w:rsidR="00F863F2" w:rsidRDefault="00826154" w:rsidP="00F863F2">
      <w:pPr>
        <w:rPr>
          <w:b/>
        </w:rPr>
      </w:pPr>
      <w:r>
        <w:rPr>
          <w:b/>
        </w:rPr>
        <w:t>Report of the Chief Executive</w:t>
      </w:r>
    </w:p>
    <w:p w14:paraId="17058EBB" w14:textId="77777777" w:rsidR="003E6A45" w:rsidRDefault="003E6A45">
      <w:pPr>
        <w:pStyle w:val="arial11"/>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3E6A45" w14:paraId="26D7B20F" w14:textId="77777777">
        <w:tc>
          <w:tcPr>
            <w:tcW w:w="3260" w:type="dxa"/>
          </w:tcPr>
          <w:p w14:paraId="4B41654A" w14:textId="07566375" w:rsidR="003E6A45" w:rsidRDefault="003E6A45" w:rsidP="002872A5">
            <w:r>
              <w:rPr>
                <w:b/>
                <w:sz w:val="28"/>
              </w:rPr>
              <w:t xml:space="preserve">Part </w:t>
            </w:r>
            <w:r w:rsidR="00F863F2">
              <w:rPr>
                <w:b/>
                <w:sz w:val="28"/>
              </w:rPr>
              <w:t xml:space="preserve">I </w:t>
            </w:r>
          </w:p>
        </w:tc>
      </w:tr>
    </w:tbl>
    <w:p w14:paraId="3BD6ABB0" w14:textId="77777777" w:rsidR="003E6A45" w:rsidRDefault="003E6A45"/>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3E6A45" w14:paraId="29082C2D" w14:textId="77777777">
        <w:tc>
          <w:tcPr>
            <w:tcW w:w="3260" w:type="dxa"/>
          </w:tcPr>
          <w:p w14:paraId="3585484B" w14:textId="77777777" w:rsidR="003E6A45" w:rsidRDefault="003E6A45">
            <w:pPr>
              <w:pStyle w:val="BodyText"/>
            </w:pPr>
            <w:r>
              <w:t>Electoral Division affected:</w:t>
            </w:r>
          </w:p>
          <w:p w14:paraId="5533386A" w14:textId="77777777" w:rsidR="003E6A45" w:rsidRPr="00F863F2" w:rsidRDefault="00F863F2">
            <w:r w:rsidRPr="00F863F2">
              <w:t>All</w:t>
            </w:r>
          </w:p>
        </w:tc>
      </w:tr>
    </w:tbl>
    <w:p w14:paraId="399382E1" w14:textId="77777777" w:rsidR="003E6A45" w:rsidRDefault="003E6A45">
      <w:pPr>
        <w:rPr>
          <w:u w:val="single"/>
        </w:rPr>
      </w:pPr>
    </w:p>
    <w:p w14:paraId="6B10C4FB" w14:textId="00C9CC2A" w:rsidR="00F863F2" w:rsidRDefault="001818BC" w:rsidP="00F863F2">
      <w:pPr>
        <w:rPr>
          <w:b/>
        </w:rPr>
      </w:pPr>
      <w:r>
        <w:rPr>
          <w:b/>
        </w:rPr>
        <w:t xml:space="preserve">Quarterly </w:t>
      </w:r>
      <w:r w:rsidR="00AA7963">
        <w:rPr>
          <w:b/>
        </w:rPr>
        <w:t xml:space="preserve">Corporate </w:t>
      </w:r>
      <w:r w:rsidR="00D567C6">
        <w:rPr>
          <w:b/>
        </w:rPr>
        <w:t>Perfor</w:t>
      </w:r>
      <w:r w:rsidR="002340F4">
        <w:rPr>
          <w:b/>
        </w:rPr>
        <w:t>mance Monitoring Report</w:t>
      </w:r>
      <w:r w:rsidR="00D567C6">
        <w:rPr>
          <w:b/>
        </w:rPr>
        <w:t xml:space="preserve"> </w:t>
      </w:r>
      <w:r w:rsidR="006247C6">
        <w:rPr>
          <w:b/>
        </w:rPr>
        <w:t xml:space="preserve">– </w:t>
      </w:r>
      <w:r w:rsidR="008560B4">
        <w:rPr>
          <w:b/>
        </w:rPr>
        <w:t xml:space="preserve">Quarter </w:t>
      </w:r>
      <w:r w:rsidR="00222DF4">
        <w:rPr>
          <w:b/>
        </w:rPr>
        <w:t xml:space="preserve">3 </w:t>
      </w:r>
      <w:r w:rsidR="00EB771F">
        <w:rPr>
          <w:b/>
        </w:rPr>
        <w:t>201</w:t>
      </w:r>
      <w:r w:rsidR="00BB6FFC">
        <w:rPr>
          <w:b/>
        </w:rPr>
        <w:t>6</w:t>
      </w:r>
      <w:r w:rsidR="00EB771F">
        <w:rPr>
          <w:b/>
        </w:rPr>
        <w:t>/1</w:t>
      </w:r>
      <w:r w:rsidR="00BB6FFC">
        <w:rPr>
          <w:b/>
        </w:rPr>
        <w:t>7</w:t>
      </w:r>
    </w:p>
    <w:p w14:paraId="7D61C9D1" w14:textId="73B40B89" w:rsidR="00F863F2" w:rsidRPr="005577F8" w:rsidRDefault="00F863F2" w:rsidP="00F863F2">
      <w:r w:rsidRPr="005577F8">
        <w:t>(Appendix 'A</w:t>
      </w:r>
      <w:r w:rsidR="008D2556">
        <w:t>'</w:t>
      </w:r>
      <w:r w:rsidR="00DF79EA">
        <w:t xml:space="preserve"> and 'B'</w:t>
      </w:r>
      <w:r w:rsidR="008908DF">
        <w:t xml:space="preserve"> refer</w:t>
      </w:r>
      <w:r w:rsidRPr="005577F8">
        <w:t>)</w:t>
      </w:r>
    </w:p>
    <w:p w14:paraId="2B8841DA" w14:textId="77777777" w:rsidR="003E6A45" w:rsidRPr="005819C8" w:rsidRDefault="003E6A45"/>
    <w:p w14:paraId="25530377" w14:textId="77777777" w:rsidR="003E6A45" w:rsidRDefault="003E6A45">
      <w:r>
        <w:t>Contact for further information:</w:t>
      </w:r>
    </w:p>
    <w:p w14:paraId="7CB8B9B4" w14:textId="77777777" w:rsidR="00F863F2" w:rsidRDefault="00F863F2" w:rsidP="00F863F2">
      <w:pPr>
        <w:ind w:right="-873"/>
      </w:pPr>
      <w:r>
        <w:t>Michael W</w:t>
      </w:r>
      <w:r w:rsidR="00826154">
        <w:t xml:space="preserve">alder, 01772 533637, </w:t>
      </w:r>
      <w:r w:rsidR="00420A4F">
        <w:t>Business Intelligence</w:t>
      </w:r>
      <w:r>
        <w:t xml:space="preserve">, </w:t>
      </w:r>
    </w:p>
    <w:p w14:paraId="55B9278C" w14:textId="77777777" w:rsidR="00F863F2" w:rsidRDefault="004D1364" w:rsidP="00F863F2">
      <w:pPr>
        <w:ind w:right="-873"/>
      </w:pPr>
      <w:hyperlink r:id="rId8" w:history="1">
        <w:r w:rsidR="00F863F2" w:rsidRPr="005819C8">
          <w:rPr>
            <w:rStyle w:val="Hyperlink"/>
          </w:rPr>
          <w:t>Michael.Walder@lancashire.gov.uk</w:t>
        </w:r>
      </w:hyperlink>
      <w:r w:rsidR="00F863F2">
        <w:t xml:space="preserve">  </w:t>
      </w:r>
    </w:p>
    <w:tbl>
      <w:tblPr>
        <w:tblpPr w:leftFromText="180" w:rightFromText="180" w:vertAnchor="text" w:horzAnchor="margin"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F046B1" w14:paraId="31F3F7C5" w14:textId="77777777" w:rsidTr="00F046B1">
        <w:tc>
          <w:tcPr>
            <w:tcW w:w="9180" w:type="dxa"/>
          </w:tcPr>
          <w:p w14:paraId="3B2F1B1F" w14:textId="77777777" w:rsidR="00F046B1" w:rsidRDefault="00F046B1" w:rsidP="003665B3">
            <w:pPr>
              <w:pStyle w:val="Heading6"/>
              <w:rPr>
                <w:rFonts w:ascii="Arial" w:hAnsi="Arial"/>
              </w:rPr>
            </w:pPr>
            <w:r>
              <w:rPr>
                <w:rFonts w:ascii="Arial" w:hAnsi="Arial"/>
              </w:rPr>
              <w:t>Executive Summary</w:t>
            </w:r>
          </w:p>
          <w:p w14:paraId="1930585E" w14:textId="77777777" w:rsidR="003665B3" w:rsidRDefault="003665B3" w:rsidP="003665B3"/>
          <w:p w14:paraId="6EBADB66" w14:textId="77777777" w:rsidR="003665B3" w:rsidRDefault="003665B3" w:rsidP="003665B3">
            <w:r>
              <w:t>R</w:t>
            </w:r>
            <w:r w:rsidRPr="00D32953">
              <w:t xml:space="preserve">egular corporate monitoring of performance across the authority as a whole </w:t>
            </w:r>
            <w:r>
              <w:t>includes</w:t>
            </w:r>
            <w:r w:rsidRPr="00D32953">
              <w:t xml:space="preserve"> the production of quarterly reports and analysis of corporate performance.  </w:t>
            </w:r>
          </w:p>
          <w:p w14:paraId="117FBC50" w14:textId="77777777" w:rsidR="003665B3" w:rsidRDefault="003665B3" w:rsidP="003665B3"/>
          <w:p w14:paraId="6C67FE09" w14:textId="49BE77E4" w:rsidR="003665B3" w:rsidRDefault="003665B3" w:rsidP="003665B3">
            <w:r w:rsidRPr="00D32953">
              <w:t xml:space="preserve">Quarterly Quality of Service reports </w:t>
            </w:r>
            <w:r>
              <w:t>against the themes of Start Well, Live Well and Age W</w:t>
            </w:r>
            <w:r w:rsidRPr="00D32953">
              <w:t>ell</w:t>
            </w:r>
            <w:r>
              <w:t xml:space="preserve">, along </w:t>
            </w:r>
            <w:r w:rsidR="009922B2">
              <w:t xml:space="preserve">with </w:t>
            </w:r>
            <w:r>
              <w:t xml:space="preserve">Highlight Reports for </w:t>
            </w:r>
            <w:r w:rsidRPr="00D32953">
              <w:rPr>
                <w:rFonts w:cs="Arial"/>
              </w:rPr>
              <w:t xml:space="preserve">Development &amp; Corporate </w:t>
            </w:r>
            <w:r>
              <w:rPr>
                <w:rFonts w:cs="Arial"/>
              </w:rPr>
              <w:t>S</w:t>
            </w:r>
            <w:r w:rsidRPr="00D32953">
              <w:rPr>
                <w:rFonts w:cs="Arial"/>
              </w:rPr>
              <w:t>ervices and Commissioning</w:t>
            </w:r>
            <w:r>
              <w:rPr>
                <w:rFonts w:cs="Arial"/>
              </w:rPr>
              <w:t>, Governance, Finance &amp; Public Services</w:t>
            </w:r>
            <w:r w:rsidRPr="00D32953">
              <w:t xml:space="preserve"> </w:t>
            </w:r>
            <w:r>
              <w:t>ha</w:t>
            </w:r>
            <w:r w:rsidR="00222DF4">
              <w:t>ve been produced for quarter three</w:t>
            </w:r>
            <w:r w:rsidRPr="00D32953">
              <w:t xml:space="preserve"> </w:t>
            </w:r>
            <w:r>
              <w:t>2016/17</w:t>
            </w:r>
            <w:r w:rsidR="008B6C39">
              <w:t>, giving details</w:t>
            </w:r>
            <w:r w:rsidRPr="00D32953">
              <w:t xml:space="preserve"> of</w:t>
            </w:r>
            <w:r w:rsidR="008B6C39">
              <w:t xml:space="preserve"> </w:t>
            </w:r>
            <w:r w:rsidRPr="00D32953">
              <w:t>performan</w:t>
            </w:r>
            <w:r w:rsidR="008B6C39">
              <w:t>ce across the organisation</w:t>
            </w:r>
            <w:r w:rsidRPr="00D32953">
              <w:t xml:space="preserve">.  </w:t>
            </w:r>
          </w:p>
          <w:p w14:paraId="6C898937" w14:textId="77777777" w:rsidR="00D32953" w:rsidRDefault="00D32953" w:rsidP="009F6FF7">
            <w:pPr>
              <w:rPr>
                <w:bCs/>
              </w:rPr>
            </w:pPr>
          </w:p>
          <w:p w14:paraId="7361FD30" w14:textId="77777777" w:rsidR="009F6FF7" w:rsidRDefault="00347754" w:rsidP="009F6FF7">
            <w:pPr>
              <w:rPr>
                <w:bCs/>
              </w:rPr>
            </w:pPr>
            <w:r>
              <w:rPr>
                <w:bCs/>
              </w:rPr>
              <w:t>This Corporate Performance Monitoring Report is derived from the in-depth monitoring reports and provides an overview of performance activity across the Council.</w:t>
            </w:r>
          </w:p>
          <w:p w14:paraId="63C13D0E" w14:textId="77777777" w:rsidR="009F6FF7" w:rsidRDefault="009F6FF7" w:rsidP="009F6FF7">
            <w:pPr>
              <w:rPr>
                <w:bCs/>
              </w:rPr>
            </w:pPr>
          </w:p>
          <w:p w14:paraId="6F90B4BE" w14:textId="325A70F6" w:rsidR="00DF79EA" w:rsidRPr="002872A5" w:rsidRDefault="00677390" w:rsidP="002872A5">
            <w:pPr>
              <w:autoSpaceDE w:val="0"/>
              <w:autoSpaceDN w:val="0"/>
              <w:adjustRightInd w:val="0"/>
              <w:rPr>
                <w:rFonts w:ascii="ArialMT" w:hAnsi="ArialMT" w:cs="ArialMT"/>
                <w:szCs w:val="24"/>
              </w:rPr>
            </w:pPr>
            <w:r>
              <w:rPr>
                <w:rFonts w:ascii="ArialMT" w:hAnsi="ArialMT" w:cs="ArialMT"/>
                <w:szCs w:val="24"/>
              </w:rPr>
              <w:t>An overview of the Quarter 3</w:t>
            </w:r>
            <w:r w:rsidR="00DF79EA">
              <w:rPr>
                <w:rFonts w:ascii="ArialMT" w:hAnsi="ArialMT" w:cs="ArialMT"/>
                <w:szCs w:val="24"/>
              </w:rPr>
              <w:t xml:space="preserve"> budget position is also provided at Appendix 'A' so</w:t>
            </w:r>
            <w:r w:rsidR="002872A5">
              <w:rPr>
                <w:rFonts w:ascii="ArialMT" w:hAnsi="ArialMT" w:cs="ArialMT"/>
                <w:szCs w:val="24"/>
              </w:rPr>
              <w:t xml:space="preserve"> </w:t>
            </w:r>
            <w:r w:rsidR="00DF79EA">
              <w:rPr>
                <w:rFonts w:ascii="ArialMT" w:hAnsi="ArialMT" w:cs="ArialMT"/>
                <w:szCs w:val="24"/>
              </w:rPr>
              <w:t>performance can be viewed within the associated financial context.</w:t>
            </w:r>
          </w:p>
          <w:p w14:paraId="1D72BFEE" w14:textId="77777777" w:rsidR="00DF79EA" w:rsidRDefault="00DF79EA" w:rsidP="009F6FF7">
            <w:pPr>
              <w:rPr>
                <w:bCs/>
              </w:rPr>
            </w:pPr>
          </w:p>
          <w:p w14:paraId="07503DA5" w14:textId="7E652B47" w:rsidR="00070646" w:rsidRDefault="00070646" w:rsidP="009F6FF7">
            <w:pPr>
              <w:rPr>
                <w:rFonts w:cs="Arial"/>
                <w:color w:val="000000" w:themeColor="text1"/>
              </w:rPr>
            </w:pPr>
            <w:r>
              <w:rPr>
                <w:rFonts w:cs="Arial"/>
                <w:color w:val="000000" w:themeColor="text1"/>
              </w:rPr>
              <w:t>In addition as part of this quarterly Corporat</w:t>
            </w:r>
            <w:r w:rsidR="001F3962">
              <w:rPr>
                <w:rFonts w:cs="Arial"/>
                <w:color w:val="000000" w:themeColor="text1"/>
              </w:rPr>
              <w:t>e Performance Monitoring report</w:t>
            </w:r>
            <w:r w:rsidR="009F6FF7">
              <w:rPr>
                <w:rFonts w:cs="Arial"/>
                <w:color w:val="000000" w:themeColor="text1"/>
              </w:rPr>
              <w:t>,</w:t>
            </w:r>
            <w:r w:rsidR="001F3962">
              <w:rPr>
                <w:rFonts w:cs="Arial"/>
                <w:color w:val="000000" w:themeColor="text1"/>
              </w:rPr>
              <w:t xml:space="preserve"> a</w:t>
            </w:r>
            <w:r w:rsidRPr="00070646">
              <w:rPr>
                <w:rFonts w:cs="Arial"/>
                <w:color w:val="000000" w:themeColor="text1"/>
              </w:rPr>
              <w:t xml:space="preserve"> latest post </w:t>
            </w:r>
            <w:r w:rsidR="003A01D6">
              <w:rPr>
                <w:rFonts w:cs="Arial"/>
                <w:color w:val="000000" w:themeColor="text1"/>
              </w:rPr>
              <w:t xml:space="preserve">(safeguarding) </w:t>
            </w:r>
            <w:r w:rsidR="001172CF">
              <w:rPr>
                <w:rFonts w:cs="Arial"/>
                <w:color w:val="000000" w:themeColor="text1"/>
              </w:rPr>
              <w:t xml:space="preserve">Children's Service </w:t>
            </w:r>
            <w:r w:rsidRPr="00070646">
              <w:rPr>
                <w:rFonts w:cs="Arial"/>
                <w:color w:val="000000" w:themeColor="text1"/>
              </w:rPr>
              <w:t>Ofsted inspection update has b</w:t>
            </w:r>
            <w:r w:rsidR="00DF79EA">
              <w:rPr>
                <w:rFonts w:cs="Arial"/>
                <w:color w:val="000000" w:themeColor="text1"/>
              </w:rPr>
              <w:t>een attached at Appendix 'B'</w:t>
            </w:r>
            <w:r w:rsidRPr="00070646">
              <w:rPr>
                <w:rFonts w:cs="Arial"/>
                <w:color w:val="000000" w:themeColor="text1"/>
              </w:rPr>
              <w:t xml:space="preserve"> and updates will continue to feature in the</w:t>
            </w:r>
            <w:r w:rsidR="00DE24D1">
              <w:rPr>
                <w:rFonts w:cs="Arial"/>
                <w:color w:val="000000" w:themeColor="text1"/>
              </w:rPr>
              <w:t>se</w:t>
            </w:r>
            <w:r w:rsidRPr="00070646">
              <w:rPr>
                <w:rFonts w:cs="Arial"/>
                <w:color w:val="000000" w:themeColor="text1"/>
              </w:rPr>
              <w:t xml:space="preserve"> reports going forward</w:t>
            </w:r>
            <w:r>
              <w:rPr>
                <w:rFonts w:cs="Arial"/>
                <w:color w:val="000000" w:themeColor="text1"/>
              </w:rPr>
              <w:t xml:space="preserve">. </w:t>
            </w:r>
          </w:p>
          <w:p w14:paraId="2C59AA93" w14:textId="77777777" w:rsidR="00070646" w:rsidRPr="00070646" w:rsidRDefault="00070646" w:rsidP="009F6FF7">
            <w:pPr>
              <w:rPr>
                <w:rFonts w:cs="Arial"/>
                <w:b/>
                <w:color w:val="000000" w:themeColor="text1"/>
              </w:rPr>
            </w:pPr>
          </w:p>
          <w:p w14:paraId="06F195C2" w14:textId="77777777" w:rsidR="00F046B1" w:rsidRDefault="00F046B1" w:rsidP="00F046B1">
            <w:pPr>
              <w:pStyle w:val="Heading5"/>
              <w:rPr>
                <w:rFonts w:ascii="Arial" w:hAnsi="Arial"/>
                <w:b w:val="0"/>
                <w:u w:val="none"/>
              </w:rPr>
            </w:pPr>
            <w:r>
              <w:rPr>
                <w:rFonts w:ascii="Arial" w:hAnsi="Arial"/>
                <w:u w:val="none"/>
              </w:rPr>
              <w:t>Recommendation</w:t>
            </w:r>
          </w:p>
          <w:p w14:paraId="7D0AEA78" w14:textId="77777777" w:rsidR="00F046B1" w:rsidRDefault="00F046B1" w:rsidP="00F046B1"/>
          <w:p w14:paraId="26D20A3C" w14:textId="39EC3A57" w:rsidR="00F046B1" w:rsidRDefault="00346E87" w:rsidP="00070646">
            <w:r w:rsidRPr="00346E87">
              <w:t xml:space="preserve">CCPI </w:t>
            </w:r>
            <w:r w:rsidR="00347754">
              <w:t>is</w:t>
            </w:r>
            <w:r w:rsidR="00347754" w:rsidRPr="00346E87">
              <w:t xml:space="preserve"> </w:t>
            </w:r>
            <w:r w:rsidRPr="00346E87">
              <w:t xml:space="preserve">asked to </w:t>
            </w:r>
            <w:r w:rsidR="00F046B1" w:rsidRPr="00346E87">
              <w:t>comment</w:t>
            </w:r>
            <w:r w:rsidR="00F046B1" w:rsidRPr="00346E87">
              <w:rPr>
                <w:i/>
              </w:rPr>
              <w:t xml:space="preserve"> </w:t>
            </w:r>
            <w:r w:rsidR="00F046B1" w:rsidRPr="00346E87">
              <w:t>on</w:t>
            </w:r>
            <w:r w:rsidR="00EC4108">
              <w:t xml:space="preserve"> the reported </w:t>
            </w:r>
            <w:r w:rsidR="00F046B1">
              <w:t>performance</w:t>
            </w:r>
            <w:r w:rsidR="00F22A08">
              <w:t xml:space="preserve"> </w:t>
            </w:r>
            <w:r w:rsidR="00263341">
              <w:t>fo</w:t>
            </w:r>
            <w:r w:rsidR="002872A5">
              <w:t>r Q</w:t>
            </w:r>
            <w:r w:rsidR="008D2556">
              <w:t xml:space="preserve">uarter </w:t>
            </w:r>
            <w:r w:rsidR="00222DF4">
              <w:t>3</w:t>
            </w:r>
            <w:r w:rsidR="00070646">
              <w:t xml:space="preserve"> and the Ofsted post inspection update</w:t>
            </w:r>
            <w:r w:rsidR="00F67754">
              <w:t xml:space="preserve"> </w:t>
            </w:r>
            <w:r w:rsidR="00D7513F">
              <w:t>information provided</w:t>
            </w:r>
            <w:r w:rsidR="00EC4108">
              <w:t>.</w:t>
            </w:r>
          </w:p>
          <w:p w14:paraId="62DF7763" w14:textId="77777777" w:rsidR="001F3962" w:rsidRDefault="001F3962" w:rsidP="00070646"/>
        </w:tc>
      </w:tr>
    </w:tbl>
    <w:p w14:paraId="7774FC22" w14:textId="77777777" w:rsidR="002340F4" w:rsidRDefault="002340F4" w:rsidP="00772BBA">
      <w:pPr>
        <w:rPr>
          <w:b/>
        </w:rPr>
      </w:pPr>
    </w:p>
    <w:p w14:paraId="5DF98DB3" w14:textId="77777777" w:rsidR="00FC533C" w:rsidRDefault="00FC533C" w:rsidP="00772BBA">
      <w:pPr>
        <w:rPr>
          <w:b/>
        </w:rPr>
      </w:pPr>
    </w:p>
    <w:p w14:paraId="49BDF4DA" w14:textId="77777777" w:rsidR="00FC533C" w:rsidRDefault="00FC533C" w:rsidP="00772BBA">
      <w:pPr>
        <w:rPr>
          <w:b/>
        </w:rPr>
      </w:pPr>
    </w:p>
    <w:p w14:paraId="17672D75" w14:textId="77777777" w:rsidR="00E27163" w:rsidRDefault="00E27163" w:rsidP="00772BBA">
      <w:pPr>
        <w:rPr>
          <w:b/>
        </w:rPr>
      </w:pPr>
    </w:p>
    <w:p w14:paraId="6C47A84F" w14:textId="77777777" w:rsidR="00E27163" w:rsidRDefault="00E27163" w:rsidP="00772BBA">
      <w:pPr>
        <w:rPr>
          <w:b/>
        </w:rPr>
      </w:pPr>
    </w:p>
    <w:p w14:paraId="5699255C" w14:textId="77777777" w:rsidR="008B6C39" w:rsidRDefault="008B6C39" w:rsidP="00772BBA">
      <w:pPr>
        <w:rPr>
          <w:b/>
        </w:rPr>
      </w:pPr>
    </w:p>
    <w:p w14:paraId="1410D17E" w14:textId="77777777" w:rsidR="00772BBA" w:rsidRDefault="00772BBA" w:rsidP="00772BBA">
      <w:pPr>
        <w:rPr>
          <w:b/>
        </w:rPr>
      </w:pPr>
      <w:r>
        <w:rPr>
          <w:b/>
        </w:rPr>
        <w:lastRenderedPageBreak/>
        <w:t xml:space="preserve">Background and Advice </w:t>
      </w:r>
    </w:p>
    <w:p w14:paraId="64418CBD" w14:textId="77777777" w:rsidR="001F3962" w:rsidRDefault="001F3962" w:rsidP="00772BBA">
      <w:pPr>
        <w:rPr>
          <w:b/>
        </w:rPr>
      </w:pPr>
    </w:p>
    <w:p w14:paraId="41C110D1" w14:textId="16327E8D" w:rsidR="00D32953" w:rsidRDefault="003E79F4" w:rsidP="009F6FF7">
      <w:r>
        <w:t>R</w:t>
      </w:r>
      <w:r w:rsidR="005102E6" w:rsidRPr="00D32953">
        <w:t>egular corporate monitoring of performance across the authority as a whole</w:t>
      </w:r>
      <w:r w:rsidR="007A4131" w:rsidRPr="00D32953">
        <w:t xml:space="preserve"> </w:t>
      </w:r>
      <w:r>
        <w:t>includes</w:t>
      </w:r>
      <w:r w:rsidR="007A4131" w:rsidRPr="00D32953">
        <w:t xml:space="preserve"> the production</w:t>
      </w:r>
      <w:r w:rsidR="005102E6" w:rsidRPr="00D32953">
        <w:t xml:space="preserve"> </w:t>
      </w:r>
      <w:r w:rsidR="007A4131" w:rsidRPr="00D32953">
        <w:t xml:space="preserve">of </w:t>
      </w:r>
      <w:r w:rsidR="005102E6" w:rsidRPr="00D32953">
        <w:t>quarterly reports and analysis of corporate performance.</w:t>
      </w:r>
      <w:r w:rsidR="007A4131" w:rsidRPr="00D32953">
        <w:t xml:space="preserve">  </w:t>
      </w:r>
      <w:r w:rsidR="008D3EE2" w:rsidRPr="00D32953">
        <w:t>Q</w:t>
      </w:r>
      <w:r w:rsidR="005102E6" w:rsidRPr="00D32953">
        <w:t>uarterly Quality of Service report</w:t>
      </w:r>
      <w:r w:rsidR="008D3EE2" w:rsidRPr="00D32953">
        <w:t xml:space="preserve">s </w:t>
      </w:r>
      <w:r w:rsidR="009F6FF7">
        <w:t>against the themes of Start Well, Live Well and Age W</w:t>
      </w:r>
      <w:r w:rsidR="00652BE4" w:rsidRPr="00D32953">
        <w:t xml:space="preserve">ell </w:t>
      </w:r>
      <w:r w:rsidR="001D5F44">
        <w:t>ha</w:t>
      </w:r>
      <w:r w:rsidR="00222DF4">
        <w:t>ve been produced for quarter three</w:t>
      </w:r>
      <w:r w:rsidRPr="00D32953">
        <w:t xml:space="preserve"> </w:t>
      </w:r>
      <w:r>
        <w:t>2016/17</w:t>
      </w:r>
      <w:r w:rsidR="00652BE4" w:rsidRPr="00D32953">
        <w:t xml:space="preserve">, </w:t>
      </w:r>
      <w:r w:rsidR="00CB4D47" w:rsidRPr="00D32953">
        <w:t xml:space="preserve">giving an overview of performance against agreed headings and parameters.  </w:t>
      </w:r>
    </w:p>
    <w:p w14:paraId="26AEF9D2" w14:textId="77777777" w:rsidR="009F6FF7" w:rsidRDefault="009F6FF7" w:rsidP="009F6FF7"/>
    <w:p w14:paraId="21B2A33D" w14:textId="77777777" w:rsidR="009F6FF7" w:rsidRDefault="00CB4D47" w:rsidP="009F6FF7">
      <w:r w:rsidRPr="00D32953">
        <w:t>In addition</w:t>
      </w:r>
      <w:r w:rsidR="00652BE4" w:rsidRPr="00D32953">
        <w:t xml:space="preserve"> Highlight reports</w:t>
      </w:r>
      <w:r w:rsidRPr="00D32953">
        <w:t xml:space="preserve"> ha</w:t>
      </w:r>
      <w:r w:rsidR="00A61A19">
        <w:t>ve</w:t>
      </w:r>
      <w:r w:rsidRPr="00D32953">
        <w:t xml:space="preserve"> been produced for </w:t>
      </w:r>
      <w:r w:rsidRPr="00D32953">
        <w:rPr>
          <w:rFonts w:cs="Arial"/>
        </w:rPr>
        <w:t xml:space="preserve">Development &amp; Corporate </w:t>
      </w:r>
      <w:r w:rsidR="003D7574">
        <w:rPr>
          <w:rFonts w:cs="Arial"/>
        </w:rPr>
        <w:t>S</w:t>
      </w:r>
      <w:r w:rsidRPr="00D32953">
        <w:rPr>
          <w:rFonts w:cs="Arial"/>
        </w:rPr>
        <w:t>ervices and Commissioning</w:t>
      </w:r>
      <w:r w:rsidR="009F6FF7">
        <w:rPr>
          <w:rFonts w:cs="Arial"/>
        </w:rPr>
        <w:t>, Governance, Finance &amp; Public S</w:t>
      </w:r>
      <w:r w:rsidRPr="00D32953">
        <w:rPr>
          <w:rFonts w:cs="Arial"/>
        </w:rPr>
        <w:t>ervices.</w:t>
      </w:r>
      <w:r w:rsidRPr="00D32953">
        <w:t xml:space="preserve"> </w:t>
      </w:r>
    </w:p>
    <w:p w14:paraId="5D2D2C9B" w14:textId="77777777" w:rsidR="003665B3" w:rsidRDefault="003665B3" w:rsidP="009F6FF7"/>
    <w:p w14:paraId="29152128" w14:textId="77777777" w:rsidR="003665B3" w:rsidRDefault="003665B3" w:rsidP="003665B3">
      <w:pPr>
        <w:rPr>
          <w:bCs/>
        </w:rPr>
      </w:pPr>
      <w:r>
        <w:rPr>
          <w:bCs/>
        </w:rPr>
        <w:t>In addition to</w:t>
      </w:r>
      <w:r w:rsidRPr="00D32953">
        <w:rPr>
          <w:bCs/>
        </w:rPr>
        <w:t xml:space="preserve"> monitoring and providing progress updates against budgets, projects and other future developments, each Quality of Service and Highlight report gives det</w:t>
      </w:r>
      <w:r>
        <w:rPr>
          <w:bCs/>
        </w:rPr>
        <w:t>ails of performance against key i</w:t>
      </w:r>
      <w:r w:rsidRPr="00D32953">
        <w:rPr>
          <w:bCs/>
        </w:rPr>
        <w:t>ndicators for that quarter.</w:t>
      </w:r>
    </w:p>
    <w:p w14:paraId="2AA5D61F" w14:textId="77777777" w:rsidR="009F6FF7" w:rsidRDefault="009F6FF7" w:rsidP="009F6FF7"/>
    <w:p w14:paraId="37142DE4" w14:textId="0C4D3232" w:rsidR="002E0332" w:rsidRDefault="003C7ABE" w:rsidP="002E0332">
      <w:pPr>
        <w:spacing w:after="120"/>
        <w:rPr>
          <w:bCs/>
          <w:szCs w:val="24"/>
        </w:rPr>
      </w:pPr>
      <w:r>
        <w:rPr>
          <w:bCs/>
          <w:szCs w:val="24"/>
        </w:rPr>
        <w:t>Monitoring across thes</w:t>
      </w:r>
      <w:r w:rsidR="00DE24D1">
        <w:rPr>
          <w:bCs/>
          <w:szCs w:val="24"/>
        </w:rPr>
        <w:t>e Q</w:t>
      </w:r>
      <w:r w:rsidR="00F0078A">
        <w:rPr>
          <w:bCs/>
          <w:szCs w:val="24"/>
        </w:rPr>
        <w:t>uarter</w:t>
      </w:r>
      <w:r w:rsidR="007F70B3">
        <w:rPr>
          <w:bCs/>
          <w:szCs w:val="24"/>
        </w:rPr>
        <w:t xml:space="preserve"> </w:t>
      </w:r>
      <w:r w:rsidR="00222DF4">
        <w:rPr>
          <w:bCs/>
          <w:szCs w:val="24"/>
        </w:rPr>
        <w:t>3</w:t>
      </w:r>
      <w:r w:rsidR="00216625">
        <w:rPr>
          <w:bCs/>
          <w:szCs w:val="24"/>
        </w:rPr>
        <w:t xml:space="preserve"> </w:t>
      </w:r>
      <w:r w:rsidR="007F70B3">
        <w:rPr>
          <w:bCs/>
          <w:szCs w:val="24"/>
        </w:rPr>
        <w:t>(Q</w:t>
      </w:r>
      <w:r w:rsidR="00222DF4">
        <w:rPr>
          <w:bCs/>
          <w:szCs w:val="24"/>
        </w:rPr>
        <w:t>3</w:t>
      </w:r>
      <w:r w:rsidR="007F70B3">
        <w:rPr>
          <w:bCs/>
          <w:szCs w:val="24"/>
        </w:rPr>
        <w:t>)</w:t>
      </w:r>
      <w:r w:rsidR="00F0078A">
        <w:rPr>
          <w:bCs/>
          <w:szCs w:val="24"/>
        </w:rPr>
        <w:t xml:space="preserve"> </w:t>
      </w:r>
      <w:r w:rsidR="00F9337D">
        <w:rPr>
          <w:bCs/>
          <w:szCs w:val="24"/>
        </w:rPr>
        <w:t>indi</w:t>
      </w:r>
      <w:r w:rsidR="00D32953">
        <w:rPr>
          <w:bCs/>
          <w:szCs w:val="24"/>
        </w:rPr>
        <w:t>cators</w:t>
      </w:r>
      <w:r w:rsidR="00A404E2">
        <w:rPr>
          <w:bCs/>
          <w:szCs w:val="24"/>
        </w:rPr>
        <w:t xml:space="preserve"> </w:t>
      </w:r>
      <w:r w:rsidR="00D32953">
        <w:rPr>
          <w:bCs/>
          <w:szCs w:val="24"/>
        </w:rPr>
        <w:t xml:space="preserve">has been used to provide this report.  </w:t>
      </w:r>
    </w:p>
    <w:p w14:paraId="1C315A5F" w14:textId="77777777" w:rsidR="00FF3733" w:rsidRPr="002E0332" w:rsidRDefault="00E9239F" w:rsidP="002E0332">
      <w:pPr>
        <w:spacing w:after="120"/>
        <w:rPr>
          <w:bCs/>
          <w:szCs w:val="24"/>
        </w:rPr>
      </w:pPr>
      <w:r w:rsidRPr="002E0332">
        <w:rPr>
          <w:rFonts w:cs="Arial"/>
          <w:b/>
          <w:color w:val="000000"/>
          <w:szCs w:val="24"/>
        </w:rPr>
        <w:t>Perf</w:t>
      </w:r>
      <w:r w:rsidR="009F6FF7">
        <w:rPr>
          <w:rFonts w:cs="Arial"/>
          <w:b/>
          <w:color w:val="000000"/>
          <w:szCs w:val="24"/>
        </w:rPr>
        <w:t>ormance S</w:t>
      </w:r>
      <w:r w:rsidR="002340F4" w:rsidRPr="002E0332">
        <w:rPr>
          <w:rFonts w:cs="Arial"/>
          <w:b/>
          <w:color w:val="000000"/>
          <w:szCs w:val="24"/>
        </w:rPr>
        <w:t>ummary</w:t>
      </w:r>
    </w:p>
    <w:p w14:paraId="2C64C07C" w14:textId="77777777" w:rsidR="001154EC" w:rsidRDefault="001154EC" w:rsidP="00772BBA">
      <w:pPr>
        <w:rPr>
          <w:rFonts w:cs="Arial"/>
          <w:b/>
          <w:szCs w:val="24"/>
        </w:rPr>
      </w:pPr>
      <w:r w:rsidRPr="001172CF">
        <w:rPr>
          <w:rFonts w:cs="Arial"/>
          <w:b/>
          <w:szCs w:val="24"/>
        </w:rPr>
        <w:t>Start Well</w:t>
      </w:r>
    </w:p>
    <w:p w14:paraId="311077E5" w14:textId="77777777" w:rsidR="001D5F44" w:rsidRDefault="001D5F44" w:rsidP="00772BBA">
      <w:pPr>
        <w:rPr>
          <w:rFonts w:cs="Arial"/>
          <w:b/>
          <w:szCs w:val="24"/>
        </w:rPr>
      </w:pPr>
    </w:p>
    <w:p w14:paraId="42C492CA" w14:textId="4971FB6B" w:rsidR="00281377" w:rsidRDefault="003E0AB8" w:rsidP="002F5728">
      <w:pPr>
        <w:pStyle w:val="NoSpacing"/>
        <w:numPr>
          <w:ilvl w:val="0"/>
          <w:numId w:val="8"/>
        </w:numPr>
        <w:rPr>
          <w:rFonts w:ascii="Arial" w:hAnsi="Arial" w:cs="Arial"/>
          <w:sz w:val="24"/>
          <w:szCs w:val="24"/>
        </w:rPr>
      </w:pPr>
      <w:r w:rsidRPr="003E0AB8">
        <w:rPr>
          <w:rFonts w:ascii="Arial" w:hAnsi="Arial" w:cs="Arial"/>
          <w:sz w:val="24"/>
          <w:szCs w:val="24"/>
        </w:rPr>
        <w:t>The proportion of children looked after (aged 5-17) with a Personal Education Plan</w:t>
      </w:r>
      <w:r w:rsidR="00812603">
        <w:rPr>
          <w:rFonts w:ascii="Arial" w:hAnsi="Arial" w:cs="Arial"/>
          <w:sz w:val="24"/>
          <w:szCs w:val="24"/>
        </w:rPr>
        <w:t xml:space="preserve"> (PEPs)</w:t>
      </w:r>
      <w:r w:rsidRPr="003E0AB8">
        <w:rPr>
          <w:rFonts w:ascii="Arial" w:hAnsi="Arial" w:cs="Arial"/>
          <w:sz w:val="24"/>
          <w:szCs w:val="24"/>
        </w:rPr>
        <w:t xml:space="preserve"> has fallen during Q3 to 72% at the end of December.  The number of children with a PEP recorded on the system does demonstrate an increasing trajectory over the last 12 months (53% in January 2016).</w:t>
      </w:r>
    </w:p>
    <w:p w14:paraId="483A1D1E" w14:textId="77777777" w:rsidR="00DF79EA" w:rsidRPr="003E0AB8" w:rsidRDefault="00DF79EA" w:rsidP="00DF79EA">
      <w:pPr>
        <w:pStyle w:val="NoSpacing"/>
        <w:ind w:left="720"/>
        <w:rPr>
          <w:rFonts w:ascii="Arial" w:hAnsi="Arial" w:cs="Arial"/>
          <w:sz w:val="24"/>
          <w:szCs w:val="24"/>
        </w:rPr>
      </w:pPr>
    </w:p>
    <w:p w14:paraId="340BA507" w14:textId="0F33C9D5" w:rsidR="00222DF4" w:rsidRPr="003E0AB8" w:rsidRDefault="003E0AB8" w:rsidP="00A61263">
      <w:pPr>
        <w:pStyle w:val="NoSpacing"/>
        <w:ind w:left="360"/>
        <w:rPr>
          <w:rFonts w:ascii="Arial" w:hAnsi="Arial" w:cs="Arial"/>
          <w:sz w:val="24"/>
          <w:szCs w:val="24"/>
        </w:rPr>
      </w:pPr>
      <w:r w:rsidRPr="003E0AB8">
        <w:rPr>
          <w:rFonts w:ascii="Arial" w:hAnsi="Arial" w:cs="Arial"/>
          <w:sz w:val="24"/>
          <w:szCs w:val="24"/>
        </w:rPr>
        <w:t>A recovery is underway to ensure more timely and up to date PEPs are recorded on the system, with a manual check of each missing PEP being undertaken by the case support team.  Themes emerging from the manual checks illustrate that there are a number of PEPs recorded in case notes and on other systems such as Documentum. These are now being recorded in the correct format to ensure compliance and to increase performance.  Furthermore, social workers are being chased for missing PEPs, with Heads of Service briefed on the levels of missing PEPs on a monthly basis.</w:t>
      </w:r>
    </w:p>
    <w:p w14:paraId="392D7FC5" w14:textId="77777777" w:rsidR="003E0AB8" w:rsidRPr="003E0AB8" w:rsidRDefault="003E0AB8" w:rsidP="003E0AB8">
      <w:pPr>
        <w:contextualSpacing/>
        <w:rPr>
          <w:rFonts w:cs="Arial"/>
        </w:rPr>
      </w:pPr>
    </w:p>
    <w:p w14:paraId="4B0B0955" w14:textId="165CE538" w:rsidR="001D5F44" w:rsidRDefault="003E0AB8" w:rsidP="002F5728">
      <w:pPr>
        <w:pStyle w:val="ListParagraph"/>
        <w:numPr>
          <w:ilvl w:val="0"/>
          <w:numId w:val="3"/>
        </w:numPr>
        <w:contextualSpacing/>
        <w:rPr>
          <w:rFonts w:cs="Arial"/>
        </w:rPr>
      </w:pPr>
      <w:r w:rsidRPr="00DD5660">
        <w:rPr>
          <w:rFonts w:cs="Arial"/>
        </w:rPr>
        <w:t>The timeliness of strategy discussions completed in 24 hours at the end of December 2016 was 59%.  The figure had reduced for the third consecutive month and was significantly lower in several</w:t>
      </w:r>
      <w:r w:rsidR="00DD5660" w:rsidRPr="00DD5660">
        <w:rPr>
          <w:rFonts w:cs="Arial"/>
        </w:rPr>
        <w:t xml:space="preserve"> areas of the county. </w:t>
      </w:r>
    </w:p>
    <w:p w14:paraId="787BDAB1" w14:textId="77777777" w:rsidR="00DF79EA" w:rsidRDefault="00DF79EA" w:rsidP="00DF79EA">
      <w:pPr>
        <w:pStyle w:val="ListParagraph"/>
        <w:contextualSpacing/>
        <w:rPr>
          <w:rFonts w:cs="Arial"/>
        </w:rPr>
      </w:pPr>
    </w:p>
    <w:p w14:paraId="14A1D68C" w14:textId="34C71CBA" w:rsidR="00DD5660" w:rsidRDefault="00DD5660" w:rsidP="00DD5660">
      <w:pPr>
        <w:ind w:left="360"/>
        <w:rPr>
          <w:rFonts w:cs="Arial"/>
        </w:rPr>
      </w:pPr>
      <w:r w:rsidRPr="00ED693C">
        <w:rPr>
          <w:rFonts w:cs="Arial"/>
        </w:rPr>
        <w:t xml:space="preserve">A detailed analysis has been completed in respect of the timeliness of all Strategy </w:t>
      </w:r>
      <w:r w:rsidRPr="009F7F0B">
        <w:rPr>
          <w:rFonts w:cs="Arial"/>
        </w:rPr>
        <w:t xml:space="preserve">Discussions held in December 2016. </w:t>
      </w:r>
      <w:r>
        <w:rPr>
          <w:rFonts w:cs="Arial"/>
        </w:rPr>
        <w:t xml:space="preserve"> </w:t>
      </w:r>
      <w:r w:rsidRPr="009F7F0B">
        <w:rPr>
          <w:rFonts w:cs="Arial"/>
        </w:rPr>
        <w:t xml:space="preserve">The report and learning has been shared with CSC Heads </w:t>
      </w:r>
      <w:r>
        <w:rPr>
          <w:rFonts w:cs="Arial"/>
        </w:rPr>
        <w:t xml:space="preserve">of Service and Senior Managers with the issue also </w:t>
      </w:r>
      <w:r w:rsidRPr="009F7F0B">
        <w:rPr>
          <w:rFonts w:cs="Arial"/>
        </w:rPr>
        <w:t xml:space="preserve">discussed at CSC weekly management meetings. The report recommendations </w:t>
      </w:r>
      <w:r w:rsidR="00812603">
        <w:rPr>
          <w:rFonts w:cs="Arial"/>
        </w:rPr>
        <w:t xml:space="preserve">are </w:t>
      </w:r>
      <w:r w:rsidRPr="009F7F0B">
        <w:rPr>
          <w:rFonts w:cs="Arial"/>
        </w:rPr>
        <w:t xml:space="preserve">being taken forward </w:t>
      </w:r>
      <w:r>
        <w:rPr>
          <w:rFonts w:cs="Arial"/>
        </w:rPr>
        <w:t xml:space="preserve">including by better evidencing and recording of decisions to undertake strategy discussions along with explanations of delays. </w:t>
      </w:r>
    </w:p>
    <w:p w14:paraId="455CEA25" w14:textId="77777777" w:rsidR="00A61263" w:rsidRDefault="00A61263" w:rsidP="00DD5660">
      <w:pPr>
        <w:ind w:left="360"/>
        <w:rPr>
          <w:rFonts w:cs="Arial"/>
        </w:rPr>
      </w:pPr>
    </w:p>
    <w:p w14:paraId="5229336E" w14:textId="77777777" w:rsidR="00A61263" w:rsidRPr="003E0AB8" w:rsidRDefault="00A61263" w:rsidP="00A61263">
      <w:pPr>
        <w:pStyle w:val="NoSpacing"/>
        <w:numPr>
          <w:ilvl w:val="0"/>
          <w:numId w:val="3"/>
        </w:numPr>
        <w:rPr>
          <w:rFonts w:ascii="Arial" w:hAnsi="Arial" w:cs="Arial"/>
          <w:sz w:val="24"/>
          <w:szCs w:val="24"/>
        </w:rPr>
      </w:pPr>
      <w:r w:rsidRPr="003E0AB8">
        <w:rPr>
          <w:rFonts w:ascii="Arial" w:hAnsi="Arial" w:cs="Arial"/>
          <w:sz w:val="24"/>
          <w:szCs w:val="24"/>
        </w:rPr>
        <w:t>There were further improvements amongst care leaver</w:t>
      </w:r>
      <w:r>
        <w:rPr>
          <w:rFonts w:ascii="Arial" w:hAnsi="Arial" w:cs="Arial"/>
          <w:sz w:val="24"/>
          <w:szCs w:val="24"/>
        </w:rPr>
        <w:t xml:space="preserve"> indicators</w:t>
      </w:r>
      <w:r w:rsidRPr="003E0AB8">
        <w:rPr>
          <w:rFonts w:ascii="Arial" w:hAnsi="Arial" w:cs="Arial"/>
          <w:sz w:val="24"/>
          <w:szCs w:val="24"/>
        </w:rPr>
        <w:t xml:space="preserve">; care leavers in education, employment and training (EET) (50.7% - up from 48.2% in quarter 2), suitable accommodation (89.2% - up from 87.3% in quarter 2) </w:t>
      </w:r>
      <w:r w:rsidRPr="003E0AB8">
        <w:rPr>
          <w:rFonts w:ascii="Arial" w:hAnsi="Arial" w:cs="Arial"/>
          <w:sz w:val="24"/>
          <w:szCs w:val="24"/>
        </w:rPr>
        <w:lastRenderedPageBreak/>
        <w:t>and care leavers contacted in the last three months (94.0% - up from 91.7% in quarter 2).</w:t>
      </w:r>
    </w:p>
    <w:p w14:paraId="11A6D802" w14:textId="77777777" w:rsidR="00A61263" w:rsidRPr="003E0AB8" w:rsidRDefault="00A61263" w:rsidP="00A61263">
      <w:pPr>
        <w:pStyle w:val="NoSpacing"/>
        <w:ind w:left="720"/>
        <w:rPr>
          <w:rFonts w:ascii="Arial" w:hAnsi="Arial" w:cs="Arial"/>
          <w:color w:val="000000"/>
          <w:sz w:val="24"/>
          <w:szCs w:val="24"/>
        </w:rPr>
      </w:pPr>
    </w:p>
    <w:p w14:paraId="48B97E6C" w14:textId="77777777" w:rsidR="00A61263" w:rsidRDefault="00A61263" w:rsidP="00A61263">
      <w:pPr>
        <w:pStyle w:val="ListParagraph"/>
        <w:numPr>
          <w:ilvl w:val="0"/>
          <w:numId w:val="3"/>
        </w:numPr>
        <w:contextualSpacing/>
        <w:rPr>
          <w:rFonts w:cs="Arial"/>
        </w:rPr>
      </w:pPr>
      <w:r w:rsidRPr="009F7F0B">
        <w:rPr>
          <w:rFonts w:cs="Arial"/>
        </w:rPr>
        <w:t xml:space="preserve">The proportion of experienced social workers (32.3%) had increased to the highest proportion seen for this indicator since May </w:t>
      </w:r>
      <w:r>
        <w:rPr>
          <w:rFonts w:cs="Arial"/>
        </w:rPr>
        <w:t>2016 (32.7%)</w:t>
      </w:r>
      <w:r w:rsidRPr="009F7F0B">
        <w:rPr>
          <w:rFonts w:cs="Arial"/>
        </w:rPr>
        <w:t>.</w:t>
      </w:r>
    </w:p>
    <w:p w14:paraId="04D258B5" w14:textId="77777777" w:rsidR="00DD5660" w:rsidRPr="00A61263" w:rsidRDefault="00DD5660" w:rsidP="00A61263">
      <w:pPr>
        <w:contextualSpacing/>
        <w:rPr>
          <w:rFonts w:cs="Arial"/>
        </w:rPr>
      </w:pPr>
    </w:p>
    <w:p w14:paraId="3ED5049A" w14:textId="2800F887" w:rsidR="00774469" w:rsidRPr="00774469" w:rsidRDefault="00774469" w:rsidP="002F5728">
      <w:pPr>
        <w:pStyle w:val="ListParagraph"/>
        <w:numPr>
          <w:ilvl w:val="0"/>
          <w:numId w:val="8"/>
        </w:numPr>
        <w:rPr>
          <w:rFonts w:cs="Arial"/>
          <w:iCs/>
        </w:rPr>
      </w:pPr>
      <w:r w:rsidRPr="00774469">
        <w:rPr>
          <w:rFonts w:cs="Arial"/>
          <w:iCs/>
        </w:rPr>
        <w:t>So far in 2016/17, adopted children (55</w:t>
      </w:r>
      <w:r>
        <w:rPr>
          <w:rFonts w:cs="Arial"/>
          <w:iCs/>
        </w:rPr>
        <w:t xml:space="preserve"> children from</w:t>
      </w:r>
      <w:r w:rsidRPr="00774469">
        <w:rPr>
          <w:rFonts w:cs="Arial"/>
          <w:iCs/>
        </w:rPr>
        <w:t xml:space="preserve"> April to Dec 2016) have waited 504 days on average from entering care to the date of placement, with 250 days from placement order to matching date.  This is an improvement on the 2015/16 full year position of 571 days and 259 days respectively.</w:t>
      </w:r>
    </w:p>
    <w:p w14:paraId="2163CFFB" w14:textId="77777777" w:rsidR="00623E6C" w:rsidRPr="00774469" w:rsidRDefault="00623E6C" w:rsidP="00774469">
      <w:pPr>
        <w:pStyle w:val="ListParagraph"/>
        <w:rPr>
          <w:rFonts w:cs="Arial"/>
          <w:color w:val="000000"/>
        </w:rPr>
      </w:pPr>
    </w:p>
    <w:p w14:paraId="04B6FC3C" w14:textId="77777777" w:rsidR="00774469" w:rsidRPr="00DF79EA" w:rsidRDefault="00774469" w:rsidP="002F5728">
      <w:pPr>
        <w:pStyle w:val="ListParagraph"/>
        <w:numPr>
          <w:ilvl w:val="0"/>
          <w:numId w:val="3"/>
        </w:numPr>
        <w:contextualSpacing/>
      </w:pPr>
      <w:r w:rsidRPr="001B394D">
        <w:rPr>
          <w:rFonts w:cs="Arial"/>
        </w:rPr>
        <w:t>Provisional data released by O</w:t>
      </w:r>
      <w:r>
        <w:rPr>
          <w:rFonts w:cs="Arial"/>
        </w:rPr>
        <w:t>fsted for December 2016 shows</w:t>
      </w:r>
      <w:r w:rsidRPr="001B394D">
        <w:rPr>
          <w:rFonts w:cs="Arial"/>
        </w:rPr>
        <w:t xml:space="preserve"> that there was two primary and two secondary schools judged as Inadequate, however the number of primary schools judged as Good or Outstanding improved to 95.8%.  The secondary school figure remained the same at 79.5%.</w:t>
      </w:r>
    </w:p>
    <w:p w14:paraId="4281AD7D" w14:textId="77777777" w:rsidR="00DF79EA" w:rsidRPr="00FF3ADC" w:rsidRDefault="00DF79EA" w:rsidP="00DF79EA">
      <w:pPr>
        <w:pStyle w:val="ListParagraph"/>
        <w:contextualSpacing/>
      </w:pPr>
    </w:p>
    <w:p w14:paraId="114B74B4" w14:textId="59FAFABD" w:rsidR="00623E6C" w:rsidRPr="00774469" w:rsidRDefault="00774469" w:rsidP="002872A5">
      <w:pPr>
        <w:ind w:left="360"/>
        <w:contextualSpacing/>
      </w:pPr>
      <w:r w:rsidRPr="00774469">
        <w:rPr>
          <w:rFonts w:cs="Arial"/>
        </w:rPr>
        <w:t>Ofsted management information over the period from 2011 to 2016 shows a strong, steady improvement in the proportion of schools judged Good or Outstanding at inspection when compared to our 10 statistical neighbour local authorities for both primary schools (from 6th ranking to 1st ranking) and secondary schools (from 6th ranking to 2nd ranking).</w:t>
      </w:r>
    </w:p>
    <w:p w14:paraId="1D7CF866" w14:textId="77777777" w:rsidR="00222DF4" w:rsidRDefault="00222DF4" w:rsidP="00222DF4">
      <w:pPr>
        <w:pStyle w:val="ListParagraph"/>
        <w:rPr>
          <w:rFonts w:cs="Arial"/>
        </w:rPr>
      </w:pPr>
    </w:p>
    <w:p w14:paraId="0C5F5178" w14:textId="4831DAC8" w:rsidR="00222DF4" w:rsidRPr="002C504D" w:rsidRDefault="002C504D" w:rsidP="002F5728">
      <w:pPr>
        <w:pStyle w:val="ListParagraph"/>
        <w:numPr>
          <w:ilvl w:val="0"/>
          <w:numId w:val="3"/>
        </w:numPr>
        <w:contextualSpacing/>
        <w:rPr>
          <w:rFonts w:cs="Arial"/>
        </w:rPr>
      </w:pPr>
      <w:r w:rsidRPr="001B394D">
        <w:rPr>
          <w:rFonts w:cs="Arial"/>
        </w:rPr>
        <w:t>The latest published data from the Mini</w:t>
      </w:r>
      <w:r w:rsidR="00DF75EA">
        <w:rPr>
          <w:rFonts w:cs="Arial"/>
        </w:rPr>
        <w:t>stry of Justice shows there was an increase in</w:t>
      </w:r>
      <w:r w:rsidRPr="001B394D">
        <w:rPr>
          <w:rFonts w:cs="Arial"/>
        </w:rPr>
        <w:t xml:space="preserve"> first time entrants to the youth justice system within Lancashire.  The rate had increased to 309.0 per 100,000 population</w:t>
      </w:r>
      <w:r w:rsidR="00DF75EA">
        <w:rPr>
          <w:rFonts w:cs="Arial"/>
        </w:rPr>
        <w:t xml:space="preserve"> (approx. 350 entrants)</w:t>
      </w:r>
      <w:r w:rsidRPr="001B394D">
        <w:rPr>
          <w:rFonts w:cs="Arial"/>
        </w:rPr>
        <w:t xml:space="preserve"> between July 2015 and June 2016 but remained lower than the national (392.0) and regional (369.0) rates. </w:t>
      </w:r>
      <w:r w:rsidR="00DF75EA">
        <w:rPr>
          <w:rFonts w:cs="Arial"/>
        </w:rPr>
        <w:t xml:space="preserve"> In fact L</w:t>
      </w:r>
      <w:r w:rsidRPr="001B394D">
        <w:rPr>
          <w:rFonts w:cs="Arial"/>
        </w:rPr>
        <w:t>ancashire is now positioned in t</w:t>
      </w:r>
      <w:r>
        <w:rPr>
          <w:rFonts w:cs="Arial"/>
        </w:rPr>
        <w:t>he upper quartile nationally for</w:t>
      </w:r>
      <w:r w:rsidRPr="001B394D">
        <w:rPr>
          <w:rFonts w:cs="Arial"/>
        </w:rPr>
        <w:t xml:space="preserve"> this indicator.  The reoffending and use of custody rates remained stable.</w:t>
      </w:r>
    </w:p>
    <w:p w14:paraId="649D97C1" w14:textId="77777777" w:rsidR="00A82A98" w:rsidRPr="00CA4CF2" w:rsidRDefault="00A82A98" w:rsidP="00CA4CF2">
      <w:pPr>
        <w:rPr>
          <w:color w:val="FF0000"/>
        </w:rPr>
      </w:pPr>
    </w:p>
    <w:p w14:paraId="0CD3A813" w14:textId="77777777" w:rsidR="001154EC" w:rsidRDefault="008C4D33" w:rsidP="008C4D33">
      <w:pPr>
        <w:pStyle w:val="ListParagraph"/>
        <w:ind w:left="0"/>
        <w:contextualSpacing/>
        <w:jc w:val="both"/>
        <w:rPr>
          <w:b/>
        </w:rPr>
      </w:pPr>
      <w:r w:rsidRPr="001172CF">
        <w:rPr>
          <w:b/>
        </w:rPr>
        <w:t>Live Well</w:t>
      </w:r>
    </w:p>
    <w:p w14:paraId="2EE39607" w14:textId="77777777" w:rsidR="007C3EDB" w:rsidRDefault="007C3EDB" w:rsidP="007C3EDB">
      <w:pPr>
        <w:pStyle w:val="NoSpacing"/>
        <w:rPr>
          <w:rFonts w:ascii="Arial" w:hAnsi="Arial" w:cs="Arial"/>
          <w:color w:val="0070C0"/>
        </w:rPr>
      </w:pPr>
    </w:p>
    <w:p w14:paraId="34A58F2E" w14:textId="77777777" w:rsidR="00852A46" w:rsidRPr="00B71361" w:rsidRDefault="00852A46" w:rsidP="00852A46">
      <w:pPr>
        <w:pStyle w:val="NoSpacing"/>
        <w:rPr>
          <w:rStyle w:val="Hyperlink"/>
          <w:rFonts w:ascii="Arial" w:hAnsi="Arial" w:cs="Arial"/>
          <w:color w:val="auto"/>
          <w:sz w:val="24"/>
          <w:szCs w:val="24"/>
          <w:u w:val="none"/>
        </w:rPr>
      </w:pPr>
      <w:r w:rsidRPr="00B71361">
        <w:rPr>
          <w:rStyle w:val="Hyperlink"/>
          <w:rFonts w:ascii="Arial" w:hAnsi="Arial" w:cs="Arial"/>
          <w:color w:val="auto"/>
          <w:sz w:val="24"/>
          <w:szCs w:val="24"/>
          <w:u w:val="none"/>
        </w:rPr>
        <w:t>Community Services</w:t>
      </w:r>
    </w:p>
    <w:p w14:paraId="24B1F772" w14:textId="77777777" w:rsidR="00852A46" w:rsidRPr="00C443C8" w:rsidRDefault="00852A46" w:rsidP="00852A46">
      <w:pPr>
        <w:pStyle w:val="NoSpacing"/>
        <w:rPr>
          <w:rFonts w:ascii="Arial" w:eastAsiaTheme="minorHAnsi" w:hAnsi="Arial" w:cs="Arial"/>
          <w:lang w:eastAsia="en-US"/>
        </w:rPr>
      </w:pPr>
    </w:p>
    <w:p w14:paraId="74640679" w14:textId="26681FCE" w:rsidR="00852A46" w:rsidRPr="00DF75EA" w:rsidRDefault="00DF75EA" w:rsidP="002F5728">
      <w:pPr>
        <w:pStyle w:val="ListParagraph"/>
        <w:numPr>
          <w:ilvl w:val="0"/>
          <w:numId w:val="8"/>
        </w:numPr>
        <w:contextualSpacing/>
        <w:rPr>
          <w:rFonts w:cs="Arial"/>
        </w:rPr>
      </w:pPr>
      <w:r w:rsidRPr="007805EA">
        <w:rPr>
          <w:rFonts w:eastAsiaTheme="minorHAnsi" w:cs="Arial"/>
          <w:lang w:eastAsia="en-US"/>
        </w:rPr>
        <w:t>Highways set a target of repairing all actionable carriageway and footway defects within 20 working days.  In quarter 3 2016/17, Highways achieve</w:t>
      </w:r>
      <w:r>
        <w:rPr>
          <w:rFonts w:eastAsiaTheme="minorHAnsi" w:cs="Arial"/>
          <w:lang w:eastAsia="en-US"/>
        </w:rPr>
        <w:t>d 98% compared to</w:t>
      </w:r>
      <w:r w:rsidRPr="007805EA">
        <w:rPr>
          <w:rFonts w:eastAsiaTheme="minorHAnsi" w:cs="Arial"/>
          <w:lang w:eastAsia="en-US"/>
        </w:rPr>
        <w:t xml:space="preserve"> 99%</w:t>
      </w:r>
      <w:r>
        <w:rPr>
          <w:rFonts w:eastAsiaTheme="minorHAnsi" w:cs="Arial"/>
          <w:lang w:eastAsia="en-US"/>
        </w:rPr>
        <w:t xml:space="preserve"> in </w:t>
      </w:r>
      <w:r w:rsidRPr="007805EA">
        <w:rPr>
          <w:rFonts w:eastAsiaTheme="minorHAnsi" w:cs="Arial"/>
          <w:lang w:eastAsia="en-US"/>
        </w:rPr>
        <w:t>the previous quarter</w:t>
      </w:r>
      <w:r>
        <w:rPr>
          <w:rFonts w:eastAsiaTheme="minorHAnsi" w:cs="Arial"/>
          <w:lang w:eastAsia="en-US"/>
        </w:rPr>
        <w:t>. The quarter 3</w:t>
      </w:r>
      <w:r w:rsidRPr="007805EA">
        <w:rPr>
          <w:rFonts w:eastAsiaTheme="minorHAnsi" w:cs="Arial"/>
          <w:lang w:eastAsia="en-US"/>
        </w:rPr>
        <w:t xml:space="preserve"> percentage figure</w:t>
      </w:r>
      <w:r>
        <w:rPr>
          <w:rFonts w:eastAsiaTheme="minorHAnsi" w:cs="Arial"/>
          <w:lang w:eastAsia="en-US"/>
        </w:rPr>
        <w:t xml:space="preserve"> for 2015/16 was also 99%</w:t>
      </w:r>
      <w:r w:rsidRPr="007805EA">
        <w:rPr>
          <w:rFonts w:eastAsiaTheme="minorHAnsi" w:cs="Arial"/>
          <w:lang w:eastAsia="en-US"/>
        </w:rPr>
        <w:t xml:space="preserve">. </w:t>
      </w:r>
    </w:p>
    <w:p w14:paraId="4A78FA3A" w14:textId="77777777" w:rsidR="00852A46" w:rsidRDefault="00852A46" w:rsidP="00852A46">
      <w:pPr>
        <w:pStyle w:val="NoSpacing"/>
        <w:ind w:left="720"/>
        <w:rPr>
          <w:rFonts w:ascii="Arial" w:eastAsiaTheme="minorHAnsi" w:hAnsi="Arial" w:cs="Arial"/>
          <w:sz w:val="24"/>
          <w:szCs w:val="24"/>
          <w:lang w:eastAsia="en-US"/>
        </w:rPr>
      </w:pPr>
    </w:p>
    <w:p w14:paraId="0CB5437B" w14:textId="77777777" w:rsidR="00DF75EA" w:rsidRPr="00FA22A2" w:rsidRDefault="00DF75EA" w:rsidP="002F5728">
      <w:pPr>
        <w:pStyle w:val="ListParagraph"/>
        <w:numPr>
          <w:ilvl w:val="0"/>
          <w:numId w:val="8"/>
        </w:numPr>
        <w:tabs>
          <w:tab w:val="left" w:pos="6940"/>
        </w:tabs>
        <w:contextualSpacing/>
        <w:rPr>
          <w:rFonts w:eastAsia="Calibri" w:cs="Arial"/>
          <w:lang w:eastAsia="en-US"/>
        </w:rPr>
      </w:pPr>
      <w:r w:rsidRPr="00FA22A2">
        <w:rPr>
          <w:rFonts w:cs="Arial"/>
        </w:rPr>
        <w:t xml:space="preserve">Overall, quarter 3 performance for all street lighting faults (4.65 days - which is made up of </w:t>
      </w:r>
      <w:r w:rsidRPr="00FA22A2">
        <w:rPr>
          <w:rFonts w:eastAsia="Calibri" w:cs="Arial"/>
        </w:rPr>
        <w:t>2.32</w:t>
      </w:r>
      <w:r w:rsidRPr="00FA22A2">
        <w:rPr>
          <w:rFonts w:eastAsia="Calibri" w:cs="Arial"/>
          <w:lang w:eastAsia="en-US"/>
        </w:rPr>
        <w:t xml:space="preserve"> days for those excludin</w:t>
      </w:r>
      <w:r w:rsidRPr="00FA22A2">
        <w:rPr>
          <w:rFonts w:eastAsia="Calibri" w:cs="Arial"/>
        </w:rPr>
        <w:t>g traffic management and 11.4</w:t>
      </w:r>
      <w:r w:rsidRPr="00FA22A2">
        <w:rPr>
          <w:rFonts w:eastAsia="Calibri" w:cs="Arial"/>
          <w:lang w:eastAsia="en-US"/>
        </w:rPr>
        <w:t xml:space="preserve"> days for those including traffic management</w:t>
      </w:r>
      <w:r w:rsidRPr="00FA22A2">
        <w:rPr>
          <w:rFonts w:cs="Arial"/>
        </w:rPr>
        <w:t xml:space="preserve">) is similar compared to quarter 2 2016/17 (4.41 days) and is within the </w:t>
      </w:r>
      <w:r w:rsidRPr="00FA22A2">
        <w:rPr>
          <w:rFonts w:eastAsia="Calibri" w:cs="Arial"/>
          <w:lang w:eastAsia="en-US"/>
        </w:rPr>
        <w:t>5 day average repair time target.</w:t>
      </w:r>
    </w:p>
    <w:p w14:paraId="1DA8CB2B" w14:textId="77777777" w:rsidR="00DF75EA" w:rsidRDefault="00DF75EA" w:rsidP="00DF75EA">
      <w:pPr>
        <w:pStyle w:val="NoSpacing"/>
        <w:ind w:left="720"/>
        <w:rPr>
          <w:rFonts w:ascii="Arial" w:eastAsiaTheme="minorHAnsi" w:hAnsi="Arial" w:cs="Arial"/>
          <w:sz w:val="24"/>
          <w:szCs w:val="24"/>
          <w:lang w:eastAsia="en-US"/>
        </w:rPr>
      </w:pPr>
    </w:p>
    <w:p w14:paraId="2B978F0C" w14:textId="77777777" w:rsidR="00DF75EA" w:rsidRPr="00440538" w:rsidRDefault="00DF75EA" w:rsidP="002F5728">
      <w:pPr>
        <w:pStyle w:val="ListParagraph"/>
        <w:numPr>
          <w:ilvl w:val="0"/>
          <w:numId w:val="8"/>
        </w:numPr>
        <w:contextualSpacing/>
        <w:rPr>
          <w:rFonts w:eastAsiaTheme="minorHAnsi" w:cs="Arial"/>
        </w:rPr>
      </w:pPr>
      <w:r w:rsidRPr="00440538">
        <w:rPr>
          <w:rFonts w:eastAsiaTheme="minorHAnsi" w:cs="Arial"/>
        </w:rPr>
        <w:t xml:space="preserve">The diversion of municipal waste away from landfill by recovery, recycling, reuse and composting is forecast to be 49% with landfill of 51% for 2016/17.  This is a drop in the forecasted performance from 56% diversion in quarter 1 and 50% in quarter 2 2016/17. This reduction in performance is mostly as a result of reduced waste processing activities at the waste recovery parks, exacerbated by increased landfilling of waste whilst operational changes are </w:t>
      </w:r>
      <w:r w:rsidRPr="00440538">
        <w:rPr>
          <w:rFonts w:eastAsiaTheme="minorHAnsi" w:cs="Arial"/>
        </w:rPr>
        <w:lastRenderedPageBreak/>
        <w:t xml:space="preserve">implemented as part of the company transformation. Increased residual waste </w:t>
      </w:r>
      <w:proofErr w:type="spellStart"/>
      <w:r w:rsidRPr="00440538">
        <w:rPr>
          <w:rFonts w:eastAsiaTheme="minorHAnsi" w:cs="Arial"/>
        </w:rPr>
        <w:t>arisings</w:t>
      </w:r>
      <w:proofErr w:type="spellEnd"/>
      <w:r w:rsidRPr="00440538">
        <w:rPr>
          <w:rFonts w:eastAsiaTheme="minorHAnsi" w:cs="Arial"/>
        </w:rPr>
        <w:t xml:space="preserve"> will also impact on performance. </w:t>
      </w:r>
    </w:p>
    <w:p w14:paraId="5CCF9BBB" w14:textId="77777777" w:rsidR="00DF75EA" w:rsidRPr="00852A46" w:rsidRDefault="00DF75EA" w:rsidP="00DF75EA">
      <w:pPr>
        <w:pStyle w:val="NoSpacing"/>
        <w:ind w:left="720"/>
        <w:rPr>
          <w:rFonts w:ascii="Arial" w:eastAsiaTheme="minorHAnsi" w:hAnsi="Arial" w:cs="Arial"/>
          <w:sz w:val="24"/>
          <w:szCs w:val="24"/>
          <w:lang w:eastAsia="en-US"/>
        </w:rPr>
      </w:pPr>
    </w:p>
    <w:p w14:paraId="28A05A7C" w14:textId="54715A1B" w:rsidR="00DF75EA" w:rsidRPr="00440538" w:rsidRDefault="00DF75EA" w:rsidP="002F5728">
      <w:pPr>
        <w:pStyle w:val="ListParagraph"/>
        <w:numPr>
          <w:ilvl w:val="0"/>
          <w:numId w:val="4"/>
        </w:numPr>
        <w:contextualSpacing/>
        <w:rPr>
          <w:rFonts w:eastAsiaTheme="minorHAnsi" w:cs="Arial"/>
          <w:color w:val="000000"/>
        </w:rPr>
      </w:pPr>
      <w:r w:rsidRPr="00440538">
        <w:rPr>
          <w:rFonts w:eastAsiaTheme="minorHAnsi" w:cs="Arial"/>
          <w:lang w:eastAsia="en-US"/>
        </w:rPr>
        <w:t xml:space="preserve">The number of visits to Libraries in quarter 3 2016/17 was 895,416 and is down on quarter </w:t>
      </w:r>
      <w:r w:rsidR="00C639C4">
        <w:rPr>
          <w:rFonts w:eastAsiaTheme="minorHAnsi" w:cs="Arial"/>
          <w:lang w:eastAsia="en-US"/>
        </w:rPr>
        <w:t>2 (by 174,336)</w:t>
      </w:r>
      <w:r w:rsidRPr="00440538">
        <w:rPr>
          <w:rFonts w:eastAsiaTheme="minorHAnsi" w:cs="Arial"/>
          <w:lang w:eastAsia="en-US"/>
        </w:rPr>
        <w:t xml:space="preserve">. </w:t>
      </w:r>
      <w:r>
        <w:rPr>
          <w:rFonts w:eastAsiaTheme="minorHAnsi" w:cs="Arial"/>
          <w:lang w:eastAsia="en-US"/>
        </w:rPr>
        <w:t xml:space="preserve"> </w:t>
      </w:r>
      <w:r w:rsidRPr="00440538">
        <w:rPr>
          <w:rFonts w:eastAsia="Calibri" w:cs="Arial"/>
          <w:lang w:eastAsia="en-US"/>
        </w:rPr>
        <w:t xml:space="preserve">The number of Library E-Book loans (downloads) has gone up again from being </w:t>
      </w:r>
      <w:r w:rsidRPr="00440538">
        <w:rPr>
          <w:rFonts w:cs="Arial"/>
          <w:lang w:eastAsia="en-US"/>
        </w:rPr>
        <w:t xml:space="preserve">25,416 in </w:t>
      </w:r>
      <w:r w:rsidRPr="00440538">
        <w:rPr>
          <w:rFonts w:eastAsia="Calibri" w:cs="Arial"/>
          <w:lang w:eastAsia="en-US"/>
        </w:rPr>
        <w:t xml:space="preserve">quarter 3 of 2015/16 to </w:t>
      </w:r>
      <w:r w:rsidRPr="00440538">
        <w:rPr>
          <w:rFonts w:cs="Arial"/>
          <w:lang w:eastAsia="en-US"/>
        </w:rPr>
        <w:t xml:space="preserve">40,516 </w:t>
      </w:r>
      <w:r w:rsidRPr="00440538">
        <w:rPr>
          <w:rFonts w:eastAsia="Calibri" w:cs="Arial"/>
          <w:lang w:eastAsia="en-US"/>
        </w:rPr>
        <w:t xml:space="preserve">in quarter 3 of 2016/17 with a slight increase from quarter 2 of 2016/17 (40,020). </w:t>
      </w:r>
      <w:r w:rsidRPr="00440538">
        <w:rPr>
          <w:rFonts w:cs="Arial"/>
          <w:color w:val="000000"/>
        </w:rPr>
        <w:t>A number of the totals seem low as they reflect library closures during the quarter on top of the usual seasonal variations.</w:t>
      </w:r>
    </w:p>
    <w:p w14:paraId="4B29FC2B" w14:textId="77777777" w:rsidR="00852A46" w:rsidRPr="00315CAB" w:rsidRDefault="00852A46" w:rsidP="00852A46">
      <w:pPr>
        <w:pStyle w:val="NoSpacing"/>
        <w:ind w:left="720"/>
        <w:rPr>
          <w:rFonts w:ascii="Arial" w:eastAsiaTheme="minorHAnsi" w:hAnsi="Arial" w:cs="Arial"/>
          <w:color w:val="FF0000"/>
          <w:sz w:val="24"/>
          <w:szCs w:val="24"/>
          <w:lang w:eastAsia="en-US"/>
        </w:rPr>
      </w:pPr>
    </w:p>
    <w:p w14:paraId="38EAEF57" w14:textId="77777777" w:rsidR="00852A46" w:rsidRPr="00B71361" w:rsidRDefault="00852A46" w:rsidP="00852A46">
      <w:pPr>
        <w:pStyle w:val="NoSpacing"/>
        <w:rPr>
          <w:rFonts w:ascii="Arial" w:hAnsi="Arial" w:cs="Arial"/>
          <w:color w:val="000000"/>
          <w:sz w:val="24"/>
          <w:szCs w:val="24"/>
          <w:lang w:eastAsia="en-US"/>
        </w:rPr>
      </w:pPr>
      <w:r w:rsidRPr="00B71361">
        <w:rPr>
          <w:rFonts w:ascii="Arial" w:hAnsi="Arial" w:cs="Arial"/>
          <w:color w:val="000000"/>
          <w:sz w:val="24"/>
          <w:szCs w:val="24"/>
          <w:lang w:eastAsia="en-US"/>
        </w:rPr>
        <w:t>Public Health</w:t>
      </w:r>
    </w:p>
    <w:p w14:paraId="27ECBF83" w14:textId="77777777" w:rsidR="00852A46" w:rsidRPr="00144570" w:rsidRDefault="00852A46" w:rsidP="00852A46">
      <w:pPr>
        <w:pStyle w:val="NoSpacing"/>
        <w:rPr>
          <w:rFonts w:ascii="Arial" w:hAnsi="Arial" w:cs="Arial"/>
        </w:rPr>
      </w:pPr>
    </w:p>
    <w:p w14:paraId="411F1993" w14:textId="77777777" w:rsidR="00C639C4" w:rsidRPr="00840AAB" w:rsidRDefault="00C639C4" w:rsidP="002F5728">
      <w:pPr>
        <w:pStyle w:val="ListParagraph"/>
        <w:numPr>
          <w:ilvl w:val="0"/>
          <w:numId w:val="10"/>
        </w:numPr>
        <w:contextualSpacing/>
        <w:rPr>
          <w:rFonts w:cs="Arial"/>
        </w:rPr>
      </w:pPr>
      <w:r w:rsidRPr="00840AAB">
        <w:rPr>
          <w:rFonts w:eastAsiaTheme="minorHAnsi" w:cs="Arial"/>
          <w:lang w:eastAsia="en-US"/>
        </w:rPr>
        <w:t>The most up to date and complete killed or seriously injured (KSI) statistics are those to the end of September 2016.  There has been a reduction in the number of both KSI and Slight casualties in the first nine months of 2016 compared to 2015 (53 against 75 KSI and 267 against 285 Slight).  The Road Safety team also reported provisional data on the number of fatalities between 1 January 2016 and 31 December 2016.  There were 36 collisions which resulted in 38 fatalities during 2016. Two collisions resulted in 2 fatalities.</w:t>
      </w:r>
    </w:p>
    <w:p w14:paraId="69B80326" w14:textId="77777777" w:rsidR="00852A46" w:rsidRPr="00852A46" w:rsidRDefault="00852A46" w:rsidP="00C639C4">
      <w:pPr>
        <w:pStyle w:val="NoSpacing"/>
        <w:ind w:left="720"/>
        <w:rPr>
          <w:rFonts w:ascii="Arial" w:eastAsiaTheme="minorHAnsi" w:hAnsi="Arial" w:cs="Arial"/>
          <w:sz w:val="24"/>
          <w:szCs w:val="24"/>
          <w:lang w:eastAsia="en-US"/>
        </w:rPr>
      </w:pPr>
    </w:p>
    <w:p w14:paraId="09DDAABD" w14:textId="5A5301D8" w:rsidR="00C639C4" w:rsidRPr="00C639C4" w:rsidRDefault="00C639C4" w:rsidP="002F5728">
      <w:pPr>
        <w:pStyle w:val="NoSpacing"/>
        <w:numPr>
          <w:ilvl w:val="0"/>
          <w:numId w:val="9"/>
        </w:numPr>
        <w:rPr>
          <w:rFonts w:ascii="Arial" w:eastAsiaTheme="minorHAnsi" w:hAnsi="Arial" w:cs="Arial"/>
          <w:sz w:val="24"/>
          <w:szCs w:val="24"/>
          <w:lang w:eastAsia="en-US"/>
        </w:rPr>
      </w:pPr>
      <w:r w:rsidRPr="00C639C4">
        <w:rPr>
          <w:rFonts w:ascii="Arial" w:eastAsiaTheme="minorHAnsi" w:hAnsi="Arial" w:cs="Arial"/>
          <w:sz w:val="24"/>
          <w:szCs w:val="24"/>
          <w:lang w:eastAsia="en-US"/>
        </w:rPr>
        <w:t>NEET</w:t>
      </w:r>
      <w:r w:rsidR="009E54AF">
        <w:rPr>
          <w:rFonts w:ascii="Arial" w:eastAsiaTheme="minorHAnsi" w:hAnsi="Arial" w:cs="Arial"/>
          <w:sz w:val="24"/>
          <w:szCs w:val="24"/>
          <w:lang w:eastAsia="en-US"/>
        </w:rPr>
        <w:t xml:space="preserve"> (Not in Education, Training or Employment)</w:t>
      </w:r>
      <w:r w:rsidRPr="00C639C4">
        <w:rPr>
          <w:rFonts w:ascii="Arial" w:eastAsiaTheme="minorHAnsi" w:hAnsi="Arial" w:cs="Arial"/>
          <w:sz w:val="24"/>
          <w:szCs w:val="24"/>
          <w:lang w:eastAsia="en-US"/>
        </w:rPr>
        <w:t xml:space="preserve"> performance for 16-17 year olds (new reporting cohort), the </w:t>
      </w:r>
      <w:r w:rsidR="009E54AF">
        <w:rPr>
          <w:rFonts w:ascii="Arial" w:eastAsiaTheme="minorHAnsi" w:hAnsi="Arial" w:cs="Arial"/>
          <w:sz w:val="24"/>
          <w:szCs w:val="24"/>
          <w:lang w:eastAsia="en-US"/>
        </w:rPr>
        <w:t xml:space="preserve">nationally reported </w:t>
      </w:r>
      <w:r w:rsidRPr="00C639C4">
        <w:rPr>
          <w:rFonts w:ascii="Arial" w:eastAsiaTheme="minorHAnsi" w:hAnsi="Arial" w:cs="Arial"/>
          <w:sz w:val="24"/>
          <w:szCs w:val="24"/>
          <w:lang w:eastAsia="en-US"/>
        </w:rPr>
        <w:t>3 month average for November 2016 to January 2017 is at the targeted level for Lancashire as a whole at 3.1% (</w:t>
      </w:r>
      <w:r w:rsidR="009E54AF">
        <w:rPr>
          <w:rFonts w:ascii="Arial" w:eastAsiaTheme="minorHAnsi" w:hAnsi="Arial" w:cs="Arial"/>
          <w:sz w:val="24"/>
          <w:szCs w:val="24"/>
          <w:lang w:eastAsia="en-US"/>
        </w:rPr>
        <w:t xml:space="preserve">817 16-17 year olds) </w:t>
      </w:r>
      <w:r w:rsidRPr="00C639C4">
        <w:rPr>
          <w:rFonts w:ascii="Arial" w:eastAsiaTheme="minorHAnsi" w:hAnsi="Arial" w:cs="Arial"/>
          <w:sz w:val="24"/>
          <w:szCs w:val="24"/>
          <w:lang w:eastAsia="en-US"/>
        </w:rPr>
        <w:t>with som</w:t>
      </w:r>
      <w:r w:rsidR="009E54AF">
        <w:rPr>
          <w:rFonts w:ascii="Arial" w:eastAsiaTheme="minorHAnsi" w:hAnsi="Arial" w:cs="Arial"/>
          <w:sz w:val="24"/>
          <w:szCs w:val="24"/>
          <w:lang w:eastAsia="en-US"/>
        </w:rPr>
        <w:t>e fluctuations across districts</w:t>
      </w:r>
      <w:r w:rsidRPr="00C639C4">
        <w:rPr>
          <w:rFonts w:ascii="Arial" w:eastAsiaTheme="minorHAnsi" w:hAnsi="Arial" w:cs="Arial"/>
          <w:sz w:val="24"/>
          <w:szCs w:val="24"/>
          <w:lang w:eastAsia="en-US"/>
        </w:rPr>
        <w:t xml:space="preserve">.  The 2016-17 Not Known 3 month average performance is 1.5 percentage points above target (6.5% against the target of 5%) but month on month, there have been significant improvements after the 'follow up' activity undertaken by the team (for January 2017, the figure was 5.2%).  The combined (NEET &amp; Not Known) 3 month average is currently 9.6% which is 1.5 percentage points above the target of 8.1%.  This is highest in Burnley and Rossendale (13.9% and 12.8% respectively) primarily due to the high Not Known figures in these areas. </w:t>
      </w:r>
    </w:p>
    <w:p w14:paraId="4CD948FD" w14:textId="77777777" w:rsidR="00222DF4" w:rsidRPr="00852A46" w:rsidRDefault="00222DF4" w:rsidP="00CB1160">
      <w:pPr>
        <w:pStyle w:val="NoSpacing"/>
        <w:rPr>
          <w:rFonts w:ascii="Arial" w:eastAsiaTheme="minorHAnsi" w:hAnsi="Arial" w:cs="Arial"/>
          <w:color w:val="FF0000"/>
          <w:sz w:val="24"/>
          <w:szCs w:val="24"/>
          <w:lang w:eastAsia="en-US"/>
        </w:rPr>
      </w:pPr>
    </w:p>
    <w:p w14:paraId="3237A383" w14:textId="77777777" w:rsidR="00CB1160" w:rsidRPr="00E02D83" w:rsidRDefault="00CB1160" w:rsidP="002F5728">
      <w:pPr>
        <w:numPr>
          <w:ilvl w:val="0"/>
          <w:numId w:val="10"/>
        </w:numPr>
        <w:contextualSpacing/>
        <w:rPr>
          <w:rFonts w:eastAsiaTheme="minorHAnsi" w:cs="Arial"/>
          <w:lang w:eastAsia="en-US"/>
        </w:rPr>
      </w:pPr>
      <w:r w:rsidRPr="00E02D83">
        <w:rPr>
          <w:rFonts w:cs="Arial"/>
        </w:rPr>
        <w:t xml:space="preserve">Over the long term of the 5 year programme (2013/14 – 2017/18), there have been steady increases in the number of NHS health checks completed, with 12,329 completed in quarter 3 of 2016/17 (70.4% of the 17,511 offered).  The </w:t>
      </w:r>
      <w:r w:rsidRPr="00E02D83">
        <w:rPr>
          <w:rFonts w:eastAsiaTheme="minorHAnsi" w:cs="Arial"/>
          <w:lang w:eastAsia="en-US"/>
        </w:rPr>
        <w:t>cumulative percentage since 2013/14 is 56.9% of health checks completed (131,000 completed of the 230,076 appointments offered) against a local performance target of 60%.  Currently 67.7% of the eligible population of 340,076 have been offered a health check</w:t>
      </w:r>
      <w:r>
        <w:rPr>
          <w:rFonts w:eastAsiaTheme="minorHAnsi" w:cs="Arial"/>
          <w:lang w:eastAsia="en-US"/>
        </w:rPr>
        <w:t xml:space="preserve"> which is slightly down on the target of having offered all the eligible population a health check by the end of 2017/18</w:t>
      </w:r>
      <w:r w:rsidRPr="00E02D83">
        <w:rPr>
          <w:rFonts w:eastAsiaTheme="minorHAnsi" w:cs="Arial"/>
          <w:lang w:eastAsia="en-US"/>
        </w:rPr>
        <w:t>.</w:t>
      </w:r>
    </w:p>
    <w:p w14:paraId="77B84D08" w14:textId="77777777" w:rsidR="00852A46" w:rsidRPr="00144570" w:rsidRDefault="00852A46" w:rsidP="00CB1160">
      <w:pPr>
        <w:pStyle w:val="NoSpacing"/>
        <w:ind w:left="720"/>
        <w:rPr>
          <w:rFonts w:ascii="Arial" w:eastAsiaTheme="minorHAnsi" w:hAnsi="Arial" w:cs="Arial"/>
          <w:szCs w:val="24"/>
          <w:lang w:eastAsia="en-US"/>
        </w:rPr>
      </w:pPr>
    </w:p>
    <w:p w14:paraId="72688152" w14:textId="77777777" w:rsidR="00CB1160" w:rsidRPr="00CB1160" w:rsidRDefault="00CB1160" w:rsidP="002F5728">
      <w:pPr>
        <w:pStyle w:val="NoSpacing"/>
        <w:numPr>
          <w:ilvl w:val="0"/>
          <w:numId w:val="10"/>
        </w:numPr>
        <w:rPr>
          <w:rFonts w:ascii="Arial" w:hAnsi="Arial" w:cs="Arial"/>
          <w:sz w:val="24"/>
          <w:szCs w:val="24"/>
        </w:rPr>
      </w:pPr>
      <w:r w:rsidRPr="00CB1160">
        <w:rPr>
          <w:rFonts w:ascii="Arial" w:hAnsi="Arial" w:cs="Arial"/>
          <w:sz w:val="24"/>
          <w:szCs w:val="24"/>
        </w:rPr>
        <w:t>The number of successful completions of drug treatment for Opiate use latest figure reported of 10.6% (for the year to the end of November 16) continues the positive performance trend (8.4% in 2013 to 10.7% in 2014).  This is greater than the England benchmark of 6.6%.</w:t>
      </w:r>
    </w:p>
    <w:p w14:paraId="01EF4FF2" w14:textId="6694C00B" w:rsidR="00F3118B" w:rsidRPr="00CB1160" w:rsidRDefault="00F3118B" w:rsidP="00CB1160">
      <w:pPr>
        <w:pStyle w:val="ListParagraph"/>
        <w:jc w:val="both"/>
        <w:rPr>
          <w:rFonts w:cs="Arial"/>
          <w:lang w:eastAsia="en-US"/>
        </w:rPr>
      </w:pPr>
    </w:p>
    <w:p w14:paraId="7F846873" w14:textId="77777777" w:rsidR="00222DF4" w:rsidRDefault="00222DF4" w:rsidP="000C3699">
      <w:pPr>
        <w:pStyle w:val="NoSpacing"/>
        <w:rPr>
          <w:rFonts w:ascii="Arial" w:hAnsi="Arial" w:cs="Arial"/>
          <w:b/>
          <w:sz w:val="24"/>
          <w:szCs w:val="24"/>
        </w:rPr>
      </w:pPr>
    </w:p>
    <w:p w14:paraId="0541CBF5" w14:textId="77777777" w:rsidR="00DF79EA" w:rsidRDefault="00DF79EA" w:rsidP="000C3699">
      <w:pPr>
        <w:pStyle w:val="NoSpacing"/>
        <w:rPr>
          <w:rFonts w:ascii="Arial" w:hAnsi="Arial" w:cs="Arial"/>
          <w:b/>
          <w:sz w:val="24"/>
          <w:szCs w:val="24"/>
        </w:rPr>
      </w:pPr>
    </w:p>
    <w:p w14:paraId="54DA9556" w14:textId="77777777" w:rsidR="000C3699" w:rsidRDefault="000C3699" w:rsidP="000C3699">
      <w:pPr>
        <w:pStyle w:val="NoSpacing"/>
        <w:rPr>
          <w:rFonts w:ascii="Arial" w:hAnsi="Arial" w:cs="Arial"/>
          <w:b/>
          <w:sz w:val="24"/>
          <w:szCs w:val="24"/>
        </w:rPr>
      </w:pPr>
      <w:r w:rsidRPr="001172CF">
        <w:rPr>
          <w:rFonts w:ascii="Arial" w:hAnsi="Arial" w:cs="Arial"/>
          <w:b/>
          <w:sz w:val="24"/>
          <w:szCs w:val="24"/>
        </w:rPr>
        <w:lastRenderedPageBreak/>
        <w:t>Age Well</w:t>
      </w:r>
    </w:p>
    <w:p w14:paraId="3D625D92" w14:textId="77777777" w:rsidR="00852A46" w:rsidRDefault="00852A46" w:rsidP="000C3699">
      <w:pPr>
        <w:pStyle w:val="NoSpacing"/>
        <w:rPr>
          <w:rFonts w:ascii="Arial" w:hAnsi="Arial" w:cs="Arial"/>
          <w:b/>
          <w:sz w:val="24"/>
          <w:szCs w:val="24"/>
        </w:rPr>
      </w:pPr>
    </w:p>
    <w:p w14:paraId="5DD40DE4" w14:textId="0A569769" w:rsidR="00CB1160" w:rsidRPr="00384988" w:rsidRDefault="00CB1160" w:rsidP="002F5728">
      <w:pPr>
        <w:pStyle w:val="ListParagraph"/>
        <w:numPr>
          <w:ilvl w:val="0"/>
          <w:numId w:val="11"/>
        </w:numPr>
        <w:contextualSpacing/>
        <w:rPr>
          <w:rFonts w:cs="Arial"/>
          <w:b/>
        </w:rPr>
      </w:pPr>
      <w:r w:rsidRPr="00384988">
        <w:rPr>
          <w:rFonts w:cs="Arial"/>
        </w:rPr>
        <w:t>The proportion of people with personal budgets (also known as 'self-directed support') is still below the national average, but this percentage is improving steadily as expected through targeted reviews as part of the recalibration of the 'Resource Allocation Scoring' (RAS) project.  Many who are currently on a managed budget are being moved to a personal budget instead.  The quarter 3 personal budgets performance figure of 72.7% shows a steady improvement from the quarter 2 figure of 66.9%.  As a result of the RAS project,</w:t>
      </w:r>
      <w:r>
        <w:rPr>
          <w:rFonts w:cs="Arial"/>
        </w:rPr>
        <w:t xml:space="preserve"> it is still </w:t>
      </w:r>
      <w:r w:rsidRPr="00384988">
        <w:rPr>
          <w:rFonts w:cs="Arial"/>
        </w:rPr>
        <w:t>on a trajectory to achieve 84% which would be in line with our comparator authorities and the national average.</w:t>
      </w:r>
    </w:p>
    <w:p w14:paraId="22B3B347" w14:textId="77777777" w:rsidR="00852A46" w:rsidRPr="00852A46" w:rsidRDefault="00852A46" w:rsidP="00CB1160">
      <w:pPr>
        <w:pStyle w:val="NoSpacing"/>
        <w:ind w:left="720"/>
        <w:rPr>
          <w:rFonts w:ascii="Arial" w:hAnsi="Arial" w:cs="Arial"/>
          <w:sz w:val="24"/>
          <w:szCs w:val="24"/>
        </w:rPr>
      </w:pPr>
    </w:p>
    <w:p w14:paraId="60D7EE07" w14:textId="77777777" w:rsidR="00CB1160" w:rsidRDefault="00CB1160" w:rsidP="002F5728">
      <w:pPr>
        <w:pStyle w:val="NoSpacing"/>
        <w:numPr>
          <w:ilvl w:val="0"/>
          <w:numId w:val="5"/>
        </w:numPr>
        <w:rPr>
          <w:rFonts w:ascii="Arial" w:hAnsi="Arial" w:cs="Arial"/>
          <w:sz w:val="24"/>
          <w:szCs w:val="24"/>
        </w:rPr>
      </w:pPr>
      <w:r w:rsidRPr="00CB1160">
        <w:rPr>
          <w:rFonts w:ascii="Arial" w:hAnsi="Arial" w:cs="Arial"/>
          <w:sz w:val="24"/>
          <w:szCs w:val="24"/>
        </w:rPr>
        <w:t>888 people aged 65+ were discharged from hospital between July and September 2016. An increase of 22% on the previous quarter (727). 83.4% were still at home 91 days later which compares favourably with the 2015/16 national average of 82.7% and with the suggested Lancashire 2016/17 Better Care Fund target of 82.0% (820 still at home out of 1000).</w:t>
      </w:r>
    </w:p>
    <w:p w14:paraId="0A2C476F" w14:textId="77777777" w:rsidR="007D3932" w:rsidRPr="00CB1160" w:rsidRDefault="007D3932" w:rsidP="007D3932">
      <w:pPr>
        <w:pStyle w:val="NoSpacing"/>
        <w:ind w:left="720"/>
        <w:rPr>
          <w:rFonts w:ascii="Arial" w:hAnsi="Arial" w:cs="Arial"/>
          <w:sz w:val="24"/>
          <w:szCs w:val="24"/>
        </w:rPr>
      </w:pPr>
    </w:p>
    <w:p w14:paraId="204FB825" w14:textId="77777777" w:rsidR="00CB1160" w:rsidRPr="00CB1160" w:rsidRDefault="00CB1160" w:rsidP="00CB1160">
      <w:pPr>
        <w:pStyle w:val="NoSpacing"/>
        <w:ind w:left="360"/>
        <w:rPr>
          <w:rFonts w:ascii="Arial" w:hAnsi="Arial" w:cs="Arial"/>
          <w:sz w:val="24"/>
          <w:szCs w:val="24"/>
        </w:rPr>
      </w:pPr>
      <w:r w:rsidRPr="00CB1160">
        <w:rPr>
          <w:rFonts w:ascii="Arial" w:hAnsi="Arial" w:cs="Arial"/>
          <w:sz w:val="24"/>
          <w:szCs w:val="24"/>
        </w:rPr>
        <w:t xml:space="preserve">Work in East Lancashire's newly established </w:t>
      </w:r>
      <w:proofErr w:type="spellStart"/>
      <w:r w:rsidRPr="00CB1160">
        <w:rPr>
          <w:rFonts w:ascii="Arial" w:hAnsi="Arial" w:cs="Arial"/>
          <w:sz w:val="24"/>
          <w:szCs w:val="24"/>
        </w:rPr>
        <w:t>Reablement</w:t>
      </w:r>
      <w:proofErr w:type="spellEnd"/>
      <w:r w:rsidRPr="00CB1160">
        <w:rPr>
          <w:rFonts w:ascii="Arial" w:hAnsi="Arial" w:cs="Arial"/>
          <w:sz w:val="24"/>
          <w:szCs w:val="24"/>
        </w:rPr>
        <w:t xml:space="preserve"> team commenced in November after a period of training. An Occupational Therapist leads the team, and full training has been provided to social care support officers and to </w:t>
      </w:r>
      <w:proofErr w:type="spellStart"/>
      <w:r w:rsidRPr="00CB1160">
        <w:rPr>
          <w:rFonts w:ascii="Arial" w:hAnsi="Arial" w:cs="Arial"/>
          <w:sz w:val="24"/>
          <w:szCs w:val="24"/>
        </w:rPr>
        <w:t>reablement</w:t>
      </w:r>
      <w:proofErr w:type="spellEnd"/>
      <w:r w:rsidRPr="00CB1160">
        <w:rPr>
          <w:rFonts w:ascii="Arial" w:hAnsi="Arial" w:cs="Arial"/>
          <w:sz w:val="24"/>
          <w:szCs w:val="24"/>
        </w:rPr>
        <w:t xml:space="preserve"> assistants (employed by an external home care provider). The outcomes for people using the service have been improved, with only 20% of people requiring long term home care at the end of a period of </w:t>
      </w:r>
      <w:proofErr w:type="spellStart"/>
      <w:r w:rsidRPr="00CB1160">
        <w:rPr>
          <w:rFonts w:ascii="Arial" w:hAnsi="Arial" w:cs="Arial"/>
          <w:sz w:val="24"/>
          <w:szCs w:val="24"/>
        </w:rPr>
        <w:t>reablement</w:t>
      </w:r>
      <w:proofErr w:type="spellEnd"/>
      <w:r w:rsidRPr="00CB1160">
        <w:rPr>
          <w:rFonts w:ascii="Arial" w:hAnsi="Arial" w:cs="Arial"/>
          <w:sz w:val="24"/>
          <w:szCs w:val="24"/>
        </w:rPr>
        <w:t xml:space="preserve">, and the time taken to </w:t>
      </w:r>
      <w:proofErr w:type="spellStart"/>
      <w:r w:rsidRPr="00CB1160">
        <w:rPr>
          <w:rFonts w:ascii="Arial" w:hAnsi="Arial" w:cs="Arial"/>
          <w:sz w:val="24"/>
          <w:szCs w:val="24"/>
        </w:rPr>
        <w:t>reable</w:t>
      </w:r>
      <w:proofErr w:type="spellEnd"/>
      <w:r w:rsidRPr="00CB1160">
        <w:rPr>
          <w:rFonts w:ascii="Arial" w:hAnsi="Arial" w:cs="Arial"/>
          <w:sz w:val="24"/>
          <w:szCs w:val="24"/>
        </w:rPr>
        <w:t xml:space="preserve"> people being reduced by over 25 hours, enabling more people to use the service.  This model of delivery will be rolled out to North and Central Lancashire from March 2017. </w:t>
      </w:r>
    </w:p>
    <w:p w14:paraId="64692451" w14:textId="77777777" w:rsidR="00852A46" w:rsidRPr="00852A46" w:rsidRDefault="00852A46" w:rsidP="00852A46">
      <w:pPr>
        <w:pStyle w:val="NoSpacing"/>
        <w:rPr>
          <w:rFonts w:ascii="Arial" w:hAnsi="Arial" w:cs="Arial"/>
          <w:sz w:val="24"/>
          <w:szCs w:val="24"/>
        </w:rPr>
      </w:pPr>
    </w:p>
    <w:p w14:paraId="67372334" w14:textId="238444C8" w:rsidR="00222DF4" w:rsidRDefault="002F5728" w:rsidP="002F5728">
      <w:pPr>
        <w:pStyle w:val="NoSpacing"/>
        <w:numPr>
          <w:ilvl w:val="0"/>
          <w:numId w:val="1"/>
        </w:numPr>
        <w:rPr>
          <w:rFonts w:ascii="Arial" w:hAnsi="Arial" w:cs="Arial"/>
          <w:sz w:val="24"/>
          <w:szCs w:val="24"/>
        </w:rPr>
      </w:pPr>
      <w:r w:rsidRPr="002F5728">
        <w:rPr>
          <w:rFonts w:ascii="Arial" w:hAnsi="Arial" w:cs="Arial"/>
          <w:sz w:val="24"/>
          <w:szCs w:val="24"/>
        </w:rPr>
        <w:t>Q3 Delayed Transfers of Care (</w:t>
      </w:r>
      <w:proofErr w:type="spellStart"/>
      <w:r w:rsidRPr="002F5728">
        <w:rPr>
          <w:rFonts w:ascii="Arial" w:hAnsi="Arial" w:cs="Arial"/>
          <w:sz w:val="24"/>
          <w:szCs w:val="24"/>
        </w:rPr>
        <w:t>DToC</w:t>
      </w:r>
      <w:proofErr w:type="spellEnd"/>
      <w:r w:rsidRPr="002F5728">
        <w:rPr>
          <w:rFonts w:ascii="Arial" w:hAnsi="Arial" w:cs="Arial"/>
          <w:sz w:val="24"/>
          <w:szCs w:val="24"/>
        </w:rPr>
        <w:t>) indicators are derived from the latest figures published by NHS Digital, which includes data up to the end of December 2016.  Quarter 3 Lancashire figures show steadily increasing trends for delays attributable to all causes and those attributable to social care.  Delays attributable to all causes have risen from 13.5 (per 100,000 of the population aged over 18 years) in quarter 2 of 2016/17 to 14.9 (equivalent of 141 people) in quarter 3 and this is now considerably higher than the latest England average of 12.1.  Delays attributable to social care have risen from 4.0 in quarter 2 of 2016/17 to 4.5 (equivalent of from 38 to 43 people) in quarter 3, but this is still lower than the latest England average of 4.7.</w:t>
      </w:r>
    </w:p>
    <w:p w14:paraId="007E5916" w14:textId="77777777" w:rsidR="007D3932" w:rsidRDefault="007D3932" w:rsidP="007D3932">
      <w:pPr>
        <w:pStyle w:val="NoSpacing"/>
        <w:ind w:left="360"/>
        <w:rPr>
          <w:rFonts w:ascii="Arial" w:hAnsi="Arial" w:cs="Arial"/>
          <w:sz w:val="24"/>
          <w:szCs w:val="24"/>
        </w:rPr>
      </w:pPr>
    </w:p>
    <w:p w14:paraId="5B1D33EA" w14:textId="77777777" w:rsidR="007D3932" w:rsidRPr="007D3932" w:rsidRDefault="007D3932" w:rsidP="007D3932">
      <w:pPr>
        <w:pStyle w:val="NoSpacing"/>
        <w:ind w:left="360"/>
        <w:rPr>
          <w:rFonts w:ascii="Arial" w:hAnsi="Arial" w:cs="Arial"/>
          <w:sz w:val="24"/>
          <w:szCs w:val="24"/>
        </w:rPr>
      </w:pPr>
      <w:r w:rsidRPr="007D3932">
        <w:rPr>
          <w:rFonts w:ascii="Arial" w:hAnsi="Arial" w:cs="Arial"/>
          <w:sz w:val="24"/>
          <w:szCs w:val="24"/>
        </w:rPr>
        <w:t>LCC and Newton Europe have now conducted studies across all of the major Hospitals in Lancashire (except Southport &amp; Ormskirk which is booked in early March) to get an in-depth understanding as to the cause of DTOC in each of the Hospitals</w:t>
      </w:r>
      <w:r w:rsidRPr="007D3932">
        <w:rPr>
          <w:rFonts w:ascii="Arial" w:hAnsi="Arial" w:cs="Arial"/>
          <w:b/>
          <w:bCs/>
          <w:sz w:val="24"/>
          <w:szCs w:val="24"/>
        </w:rPr>
        <w:t xml:space="preserve">.  </w:t>
      </w:r>
      <w:r w:rsidRPr="007D3932">
        <w:rPr>
          <w:rFonts w:ascii="Arial" w:hAnsi="Arial" w:cs="Arial"/>
          <w:sz w:val="24"/>
          <w:szCs w:val="24"/>
        </w:rPr>
        <w:t>The biggest causes of DTOC across the county are:</w:t>
      </w:r>
    </w:p>
    <w:p w14:paraId="0A5D8E53" w14:textId="77777777" w:rsidR="007D3932" w:rsidRPr="007D3932" w:rsidRDefault="007D3932" w:rsidP="007D3932">
      <w:pPr>
        <w:pStyle w:val="NoSpacing"/>
        <w:numPr>
          <w:ilvl w:val="1"/>
          <w:numId w:val="1"/>
        </w:numPr>
        <w:rPr>
          <w:rFonts w:ascii="Arial" w:hAnsi="Arial" w:cs="Arial"/>
          <w:sz w:val="24"/>
          <w:szCs w:val="24"/>
        </w:rPr>
      </w:pPr>
      <w:r w:rsidRPr="007D3932">
        <w:rPr>
          <w:rFonts w:ascii="Arial" w:hAnsi="Arial" w:cs="Arial"/>
          <w:sz w:val="24"/>
          <w:szCs w:val="24"/>
        </w:rPr>
        <w:t>awaiting a continuing health care multi-disciplinary team meeting (Health)</w:t>
      </w:r>
    </w:p>
    <w:p w14:paraId="4229B25C" w14:textId="77777777" w:rsidR="007D3932" w:rsidRPr="007D3932" w:rsidRDefault="007D3932" w:rsidP="007D3932">
      <w:pPr>
        <w:pStyle w:val="NoSpacing"/>
        <w:numPr>
          <w:ilvl w:val="1"/>
          <w:numId w:val="1"/>
        </w:numPr>
        <w:rPr>
          <w:rFonts w:ascii="Arial" w:hAnsi="Arial" w:cs="Arial"/>
          <w:sz w:val="24"/>
          <w:szCs w:val="24"/>
        </w:rPr>
      </w:pPr>
      <w:r w:rsidRPr="007D3932">
        <w:rPr>
          <w:rFonts w:ascii="Arial" w:hAnsi="Arial" w:cs="Arial"/>
          <w:sz w:val="24"/>
          <w:szCs w:val="24"/>
        </w:rPr>
        <w:t>awaiting an assessment (Health &amp; Social Care mix)</w:t>
      </w:r>
    </w:p>
    <w:p w14:paraId="54AC53B4" w14:textId="77777777" w:rsidR="007D3932" w:rsidRPr="007D3932" w:rsidRDefault="007D3932" w:rsidP="007D3932">
      <w:pPr>
        <w:pStyle w:val="NoSpacing"/>
        <w:numPr>
          <w:ilvl w:val="1"/>
          <w:numId w:val="1"/>
        </w:numPr>
        <w:rPr>
          <w:rFonts w:ascii="Arial" w:hAnsi="Arial" w:cs="Arial"/>
          <w:sz w:val="24"/>
          <w:szCs w:val="24"/>
        </w:rPr>
      </w:pPr>
      <w:r w:rsidRPr="007D3932">
        <w:rPr>
          <w:rFonts w:ascii="Arial" w:hAnsi="Arial" w:cs="Arial"/>
          <w:sz w:val="24"/>
          <w:szCs w:val="24"/>
        </w:rPr>
        <w:t xml:space="preserve">awaiting a particular type of care (anything from residential to </w:t>
      </w:r>
      <w:proofErr w:type="spellStart"/>
      <w:r w:rsidRPr="007D3932">
        <w:rPr>
          <w:rFonts w:ascii="Arial" w:hAnsi="Arial" w:cs="Arial"/>
          <w:sz w:val="24"/>
          <w:szCs w:val="24"/>
        </w:rPr>
        <w:t>reablement</w:t>
      </w:r>
      <w:proofErr w:type="spellEnd"/>
      <w:r w:rsidRPr="007D3932">
        <w:rPr>
          <w:rFonts w:ascii="Arial" w:hAnsi="Arial" w:cs="Arial"/>
          <w:sz w:val="24"/>
          <w:szCs w:val="24"/>
        </w:rPr>
        <w:t>)</w:t>
      </w:r>
    </w:p>
    <w:p w14:paraId="10C793E1" w14:textId="77777777" w:rsidR="007D3932" w:rsidRPr="007D3932" w:rsidRDefault="007D3932" w:rsidP="007D3932">
      <w:pPr>
        <w:pStyle w:val="NoSpacing"/>
        <w:rPr>
          <w:rFonts w:ascii="Arial" w:hAnsi="Arial" w:cs="Arial"/>
          <w:sz w:val="24"/>
          <w:szCs w:val="24"/>
        </w:rPr>
      </w:pPr>
    </w:p>
    <w:p w14:paraId="60009100" w14:textId="77777777" w:rsidR="007D3932" w:rsidRPr="007D3932" w:rsidRDefault="007D3932" w:rsidP="007D3932">
      <w:pPr>
        <w:pStyle w:val="NoSpacing"/>
        <w:ind w:left="360"/>
        <w:rPr>
          <w:rFonts w:ascii="Arial" w:hAnsi="Arial" w:cs="Arial"/>
          <w:sz w:val="24"/>
          <w:szCs w:val="24"/>
        </w:rPr>
      </w:pPr>
      <w:r w:rsidRPr="007D3932">
        <w:rPr>
          <w:rFonts w:ascii="Arial" w:hAnsi="Arial" w:cs="Arial"/>
          <w:sz w:val="24"/>
          <w:szCs w:val="24"/>
        </w:rPr>
        <w:lastRenderedPageBreak/>
        <w:t>The “Passport to Independence” programme will play a significant role in reducing delays due to 2 and 3. The other actions agreed are specific to each area, but show a positive step towards reducing DTOC</w:t>
      </w:r>
    </w:p>
    <w:p w14:paraId="2C9C265A" w14:textId="77777777" w:rsidR="00CF6C60" w:rsidRDefault="00CF6C60" w:rsidP="002F0EDF">
      <w:pPr>
        <w:spacing w:after="200" w:line="276" w:lineRule="auto"/>
        <w:contextualSpacing/>
        <w:rPr>
          <w:rFonts w:cs="Arial"/>
          <w:b/>
        </w:rPr>
      </w:pPr>
    </w:p>
    <w:p w14:paraId="0EFE6FF6" w14:textId="2295E26E" w:rsidR="00852A46" w:rsidRDefault="000C3699" w:rsidP="00852A46">
      <w:pPr>
        <w:spacing w:after="200" w:line="276" w:lineRule="auto"/>
        <w:ind w:left="360"/>
        <w:contextualSpacing/>
        <w:rPr>
          <w:rFonts w:cs="Arial"/>
          <w:b/>
        </w:rPr>
      </w:pPr>
      <w:r w:rsidRPr="00CF6C60">
        <w:rPr>
          <w:rFonts w:cs="Arial"/>
          <w:b/>
        </w:rPr>
        <w:t>Highlight Reports</w:t>
      </w:r>
      <w:r w:rsidR="00852A46">
        <w:rPr>
          <w:rFonts w:cs="Arial"/>
          <w:b/>
        </w:rPr>
        <w:t xml:space="preserve"> – Quarter </w:t>
      </w:r>
      <w:r w:rsidR="00222DF4">
        <w:rPr>
          <w:rFonts w:cs="Arial"/>
          <w:b/>
        </w:rPr>
        <w:t>3</w:t>
      </w:r>
      <w:r w:rsidR="005F44AB">
        <w:rPr>
          <w:rFonts w:cs="Arial"/>
          <w:b/>
        </w:rPr>
        <w:t xml:space="preserve"> performance</w:t>
      </w:r>
    </w:p>
    <w:p w14:paraId="40C6B1EB" w14:textId="2B6E12C1" w:rsidR="007D3932" w:rsidRPr="007D3932" w:rsidRDefault="007D3932" w:rsidP="007D3932">
      <w:pPr>
        <w:pStyle w:val="NoSpacing"/>
        <w:numPr>
          <w:ilvl w:val="0"/>
          <w:numId w:val="6"/>
        </w:numPr>
        <w:rPr>
          <w:rFonts w:ascii="Arial" w:hAnsi="Arial" w:cs="Arial"/>
          <w:sz w:val="24"/>
          <w:szCs w:val="24"/>
        </w:rPr>
      </w:pPr>
      <w:r w:rsidRPr="007D3932">
        <w:rPr>
          <w:rFonts w:ascii="Arial" w:hAnsi="Arial" w:cs="Arial"/>
          <w:sz w:val="24"/>
          <w:szCs w:val="24"/>
        </w:rPr>
        <w:t xml:space="preserve">By the end of </w:t>
      </w:r>
      <w:r w:rsidR="004D1364">
        <w:rPr>
          <w:rFonts w:ascii="Arial" w:hAnsi="Arial" w:cs="Arial"/>
          <w:sz w:val="24"/>
          <w:szCs w:val="24"/>
        </w:rPr>
        <w:t>q</w:t>
      </w:r>
      <w:r w:rsidRPr="007D3932">
        <w:rPr>
          <w:rFonts w:ascii="Arial" w:hAnsi="Arial" w:cs="Arial"/>
          <w:sz w:val="24"/>
          <w:szCs w:val="24"/>
        </w:rPr>
        <w:t xml:space="preserve">uarter 3, 6 Rosebud loans totalling £1.1m and 6 Micro Rosebud loans totalling £202,000 had been invested, against a </w:t>
      </w:r>
      <w:r w:rsidRPr="007D3932">
        <w:rPr>
          <w:rFonts w:ascii="Arial" w:hAnsi="Arial" w:cs="Arial"/>
          <w:noProof/>
          <w:sz w:val="24"/>
          <w:szCs w:val="24"/>
        </w:rPr>
        <w:t>target of £1.6m for 2016/17.</w:t>
      </w:r>
    </w:p>
    <w:p w14:paraId="106FAF46" w14:textId="77777777" w:rsidR="007D3932" w:rsidRPr="007D3932" w:rsidRDefault="007D3932" w:rsidP="007D3932">
      <w:pPr>
        <w:pStyle w:val="NoSpacing"/>
        <w:ind w:left="720"/>
        <w:rPr>
          <w:rFonts w:ascii="Arial" w:hAnsi="Arial" w:cs="Arial"/>
          <w:sz w:val="24"/>
          <w:szCs w:val="24"/>
        </w:rPr>
      </w:pPr>
    </w:p>
    <w:p w14:paraId="07CC4C00" w14:textId="5C8605C5" w:rsidR="00852A46" w:rsidRPr="007D3932" w:rsidRDefault="007D3932" w:rsidP="007D3932">
      <w:pPr>
        <w:pStyle w:val="NoSpacing"/>
        <w:numPr>
          <w:ilvl w:val="0"/>
          <w:numId w:val="6"/>
        </w:numPr>
        <w:rPr>
          <w:rFonts w:ascii="Arial" w:hAnsi="Arial" w:cs="Arial"/>
          <w:sz w:val="24"/>
          <w:szCs w:val="24"/>
        </w:rPr>
      </w:pPr>
      <w:r w:rsidRPr="007D3932">
        <w:rPr>
          <w:rFonts w:ascii="Arial" w:hAnsi="Arial" w:cs="Arial"/>
          <w:sz w:val="24"/>
          <w:szCs w:val="24"/>
        </w:rPr>
        <w:t>The Estates team had achieved £7.4m of capital receipts and the rental income on the commercial property portfolio was £2.6m against annual targets of £5.0m and £3.46m respectively.</w:t>
      </w:r>
    </w:p>
    <w:p w14:paraId="07157068" w14:textId="77777777" w:rsidR="007D3932" w:rsidRPr="007D3932" w:rsidRDefault="007D3932" w:rsidP="007D3932">
      <w:pPr>
        <w:pStyle w:val="NoSpacing"/>
        <w:rPr>
          <w:rFonts w:ascii="Arial" w:hAnsi="Arial" w:cs="Arial"/>
          <w:sz w:val="24"/>
          <w:szCs w:val="24"/>
        </w:rPr>
      </w:pPr>
    </w:p>
    <w:p w14:paraId="7A0B1EE4" w14:textId="1AA73C63" w:rsidR="00852A46" w:rsidRDefault="007D3932" w:rsidP="007D3932">
      <w:pPr>
        <w:pStyle w:val="NoSpacing"/>
        <w:numPr>
          <w:ilvl w:val="0"/>
          <w:numId w:val="9"/>
        </w:numPr>
        <w:rPr>
          <w:rFonts w:ascii="Arial" w:hAnsi="Arial" w:cs="Arial"/>
          <w:sz w:val="24"/>
          <w:szCs w:val="24"/>
        </w:rPr>
      </w:pPr>
      <w:r w:rsidRPr="007D3932">
        <w:rPr>
          <w:rFonts w:ascii="Arial" w:hAnsi="Arial" w:cs="Arial"/>
          <w:sz w:val="24"/>
          <w:szCs w:val="24"/>
        </w:rPr>
        <w:t xml:space="preserve">Total Superfast Broadband (SFB) coverage in the Lancashire </w:t>
      </w:r>
      <w:r w:rsidRPr="007D3932">
        <w:rPr>
          <w:rFonts w:ascii="Arial" w:eastAsia="Calibri" w:hAnsi="Arial" w:cs="Arial"/>
          <w:sz w:val="24"/>
          <w:szCs w:val="24"/>
        </w:rPr>
        <w:t>Enterprise Partnership</w:t>
      </w:r>
      <w:r w:rsidRPr="007D3932">
        <w:rPr>
          <w:rFonts w:ascii="Arial" w:hAnsi="Arial" w:cs="Arial"/>
          <w:sz w:val="24"/>
          <w:szCs w:val="24"/>
        </w:rPr>
        <w:t xml:space="preserve"> (LEP) Area is 97% and 96% for the LCC area.  This is higher than the percentages for the United Kingdom and England which are 92.5% and 93%</w:t>
      </w:r>
    </w:p>
    <w:p w14:paraId="7B39E1A3" w14:textId="77777777" w:rsidR="004E5EC5" w:rsidRDefault="004E5EC5" w:rsidP="004E5EC5">
      <w:pPr>
        <w:pStyle w:val="NoSpacing"/>
        <w:ind w:left="720"/>
        <w:rPr>
          <w:rFonts w:ascii="Arial" w:hAnsi="Arial" w:cs="Arial"/>
          <w:sz w:val="24"/>
          <w:szCs w:val="24"/>
        </w:rPr>
      </w:pPr>
    </w:p>
    <w:p w14:paraId="769233C8" w14:textId="72FF671A" w:rsidR="004E5EC5" w:rsidRPr="004E5EC5" w:rsidRDefault="004E5EC5" w:rsidP="004E5EC5">
      <w:pPr>
        <w:pStyle w:val="NoSpacing"/>
        <w:numPr>
          <w:ilvl w:val="0"/>
          <w:numId w:val="16"/>
        </w:numPr>
        <w:rPr>
          <w:rFonts w:ascii="Arial" w:hAnsi="Arial" w:cs="Arial"/>
          <w:sz w:val="24"/>
          <w:szCs w:val="24"/>
        </w:rPr>
      </w:pPr>
      <w:r w:rsidRPr="004E5EC5">
        <w:rPr>
          <w:rFonts w:ascii="Arial" w:hAnsi="Arial" w:cs="Arial"/>
          <w:sz w:val="24"/>
          <w:szCs w:val="24"/>
        </w:rPr>
        <w:t xml:space="preserve">At the end of </w:t>
      </w:r>
      <w:r w:rsidR="004D1364">
        <w:rPr>
          <w:rFonts w:ascii="Arial" w:hAnsi="Arial" w:cs="Arial"/>
          <w:sz w:val="24"/>
          <w:szCs w:val="24"/>
        </w:rPr>
        <w:t>q</w:t>
      </w:r>
      <w:bookmarkStart w:id="0" w:name="_GoBack"/>
      <w:bookmarkEnd w:id="0"/>
      <w:r w:rsidRPr="004E5EC5">
        <w:rPr>
          <w:rFonts w:ascii="Arial" w:hAnsi="Arial" w:cs="Arial"/>
          <w:sz w:val="24"/>
          <w:szCs w:val="24"/>
        </w:rPr>
        <w:t>uarter 3, 147 newly qualified social workers were being supported in their Assessed and Supported Year of Employment (ASYE) within Adult and Children's services, with a further 59 social</w:t>
      </w:r>
      <w:r>
        <w:rPr>
          <w:rFonts w:ascii="Arial" w:hAnsi="Arial" w:cs="Arial"/>
          <w:sz w:val="24"/>
          <w:szCs w:val="24"/>
        </w:rPr>
        <w:t xml:space="preserve"> work students also on placement.</w:t>
      </w:r>
    </w:p>
    <w:p w14:paraId="68041BB5" w14:textId="77777777" w:rsidR="00222DF4" w:rsidRPr="007D3932" w:rsidRDefault="00222DF4" w:rsidP="00222DF4">
      <w:pPr>
        <w:pStyle w:val="NoSpacing"/>
        <w:ind w:left="720"/>
        <w:rPr>
          <w:rFonts w:ascii="Arial" w:hAnsi="Arial" w:cs="Arial"/>
          <w:sz w:val="24"/>
          <w:szCs w:val="24"/>
          <w:shd w:val="clear" w:color="auto" w:fill="FFFFFF"/>
        </w:rPr>
      </w:pPr>
    </w:p>
    <w:p w14:paraId="00A7DE2E" w14:textId="53E6E166" w:rsidR="00222DF4" w:rsidRPr="007D3932" w:rsidRDefault="007D3932" w:rsidP="007D3932">
      <w:pPr>
        <w:pStyle w:val="NoSpacing"/>
        <w:numPr>
          <w:ilvl w:val="0"/>
          <w:numId w:val="13"/>
        </w:numPr>
        <w:rPr>
          <w:rFonts w:ascii="Arial" w:hAnsi="Arial" w:cs="Arial"/>
          <w:sz w:val="24"/>
          <w:szCs w:val="24"/>
          <w:shd w:val="clear" w:color="auto" w:fill="FFFFFF"/>
        </w:rPr>
      </w:pPr>
      <w:r w:rsidRPr="007D3932">
        <w:rPr>
          <w:rFonts w:ascii="Arial" w:hAnsi="Arial" w:cs="Arial"/>
          <w:sz w:val="24"/>
          <w:szCs w:val="24"/>
        </w:rPr>
        <w:t>The Employment and Support Team are currently supporting 91 Children Looked After/Leaving care young people.</w:t>
      </w:r>
    </w:p>
    <w:p w14:paraId="241C0DEE" w14:textId="77777777" w:rsidR="00852A46" w:rsidRPr="007D3932" w:rsidRDefault="00852A46" w:rsidP="004E5EC5">
      <w:pPr>
        <w:pStyle w:val="NoSpacing"/>
        <w:rPr>
          <w:rFonts w:ascii="Arial" w:hAnsi="Arial" w:cs="Arial"/>
          <w:sz w:val="24"/>
          <w:szCs w:val="24"/>
          <w:shd w:val="clear" w:color="auto" w:fill="FFFFFF"/>
        </w:rPr>
      </w:pPr>
    </w:p>
    <w:p w14:paraId="48D4D5AC" w14:textId="1A6669F3" w:rsidR="007D3932" w:rsidRPr="007D3932" w:rsidRDefault="007D3932" w:rsidP="007D3932">
      <w:pPr>
        <w:pStyle w:val="NoSpacing"/>
        <w:numPr>
          <w:ilvl w:val="0"/>
          <w:numId w:val="14"/>
        </w:numPr>
        <w:rPr>
          <w:rFonts w:ascii="Arial" w:hAnsi="Arial" w:cs="Arial"/>
          <w:sz w:val="24"/>
          <w:szCs w:val="24"/>
        </w:rPr>
      </w:pPr>
      <w:r w:rsidRPr="007D3932">
        <w:rPr>
          <w:rFonts w:ascii="Arial" w:hAnsi="Arial" w:cs="Arial"/>
          <w:sz w:val="24"/>
          <w:szCs w:val="24"/>
        </w:rPr>
        <w:t xml:space="preserve">Care debt over 6 months is running at </w:t>
      </w:r>
      <w:r w:rsidR="004E5EC5">
        <w:rPr>
          <w:rFonts w:ascii="Arial" w:hAnsi="Arial" w:cs="Arial"/>
          <w:sz w:val="24"/>
          <w:szCs w:val="24"/>
        </w:rPr>
        <w:t>a level</w:t>
      </w:r>
      <w:r w:rsidRPr="007D3932">
        <w:rPr>
          <w:rFonts w:ascii="Arial" w:hAnsi="Arial" w:cs="Arial"/>
          <w:sz w:val="24"/>
          <w:szCs w:val="24"/>
        </w:rPr>
        <w:t xml:space="preserve"> just above £11.4m.  This is an increase of £1m over the previous quarter and in the main, is due to an atypical bump in billing 6 months ago resulting from a catch up billing exercise which generated an additional £600k of arrears billing.</w:t>
      </w:r>
    </w:p>
    <w:p w14:paraId="2815F4BD" w14:textId="77777777" w:rsidR="007D3932" w:rsidRPr="007D3932" w:rsidRDefault="007D3932" w:rsidP="007D3932">
      <w:pPr>
        <w:pStyle w:val="NoSpacing"/>
        <w:ind w:left="720"/>
        <w:rPr>
          <w:rFonts w:ascii="Arial" w:hAnsi="Arial" w:cs="Arial"/>
          <w:sz w:val="24"/>
          <w:szCs w:val="24"/>
        </w:rPr>
      </w:pPr>
    </w:p>
    <w:p w14:paraId="6D5AB48C" w14:textId="77777777" w:rsidR="007D3932" w:rsidRPr="007D3932" w:rsidRDefault="007D3932" w:rsidP="007D3932">
      <w:pPr>
        <w:pStyle w:val="NoSpacing"/>
        <w:numPr>
          <w:ilvl w:val="0"/>
          <w:numId w:val="14"/>
        </w:numPr>
        <w:rPr>
          <w:rFonts w:ascii="Arial" w:hAnsi="Arial" w:cs="Arial"/>
          <w:sz w:val="24"/>
          <w:szCs w:val="24"/>
        </w:rPr>
      </w:pPr>
      <w:r w:rsidRPr="007D3932">
        <w:rPr>
          <w:rFonts w:ascii="Arial" w:hAnsi="Arial" w:cs="Arial"/>
          <w:sz w:val="24"/>
          <w:szCs w:val="24"/>
        </w:rPr>
        <w:t>Corporate debt levels are less of an issue than care debt although recovery work continues unabated.  NHS joint funded packages also continue to be an important facet of this debt equation with resource being dedicated to billing smarter to avoid unnecessary debt build up.  LCC payments experienced a boost in performance in September across the board due to the return to normal working following the schools holiday break</w:t>
      </w:r>
      <w:r w:rsidRPr="007D3932">
        <w:rPr>
          <w:rFonts w:ascii="Arial" w:hAnsi="Arial" w:cs="Arial"/>
          <w:color w:val="00B050"/>
          <w:sz w:val="24"/>
          <w:szCs w:val="24"/>
        </w:rPr>
        <w:t xml:space="preserve">. </w:t>
      </w:r>
    </w:p>
    <w:p w14:paraId="4BCD6069" w14:textId="77777777" w:rsidR="007D3932" w:rsidRPr="0041322B" w:rsidRDefault="007D3932" w:rsidP="007D3932">
      <w:pPr>
        <w:pStyle w:val="NoSpacing"/>
        <w:rPr>
          <w:rFonts w:ascii="Arial" w:hAnsi="Arial" w:cs="Arial"/>
        </w:rPr>
      </w:pPr>
    </w:p>
    <w:p w14:paraId="0E9654B3" w14:textId="77777777" w:rsidR="003665B3" w:rsidRDefault="003665B3" w:rsidP="007D3932">
      <w:pPr>
        <w:pStyle w:val="Heading1"/>
      </w:pPr>
    </w:p>
    <w:p w14:paraId="324BF763" w14:textId="77777777" w:rsidR="00BB6EA6" w:rsidRDefault="00BB6EA6" w:rsidP="00BB6EA6"/>
    <w:p w14:paraId="275E54C7" w14:textId="77777777" w:rsidR="00BB6EA6" w:rsidRDefault="00BB6EA6" w:rsidP="00BB6EA6"/>
    <w:p w14:paraId="68E71887" w14:textId="77777777" w:rsidR="00BB6EA6" w:rsidRDefault="00BB6EA6" w:rsidP="00BB6EA6"/>
    <w:p w14:paraId="04A4E2C4" w14:textId="77777777" w:rsidR="00BB6EA6" w:rsidRDefault="00BB6EA6" w:rsidP="00BB6EA6"/>
    <w:p w14:paraId="449C2603" w14:textId="77777777" w:rsidR="00BB6EA6" w:rsidRDefault="00BB6EA6" w:rsidP="00BB6EA6"/>
    <w:p w14:paraId="356B0C65" w14:textId="77777777" w:rsidR="00BB6EA6" w:rsidRDefault="00BB6EA6" w:rsidP="00BB6EA6"/>
    <w:p w14:paraId="66C74738" w14:textId="77777777" w:rsidR="00BB6EA6" w:rsidRDefault="00BB6EA6" w:rsidP="00BB6EA6"/>
    <w:p w14:paraId="060428F5" w14:textId="77777777" w:rsidR="00BB6EA6" w:rsidRDefault="00BB6EA6" w:rsidP="00BB6EA6"/>
    <w:p w14:paraId="68A3EAE9" w14:textId="77777777" w:rsidR="00BB6EA6" w:rsidRPr="00BB6EA6" w:rsidRDefault="00BB6EA6" w:rsidP="00BB6EA6"/>
    <w:p w14:paraId="383C094E" w14:textId="77777777" w:rsidR="003E6A45" w:rsidRDefault="003E6A45">
      <w:pPr>
        <w:pStyle w:val="Heading1"/>
      </w:pPr>
      <w:r>
        <w:lastRenderedPageBreak/>
        <w:t>Consultations</w:t>
      </w:r>
    </w:p>
    <w:p w14:paraId="723DCA9A" w14:textId="77777777" w:rsidR="00A90B6F" w:rsidRPr="00A90B6F" w:rsidRDefault="00A90B6F" w:rsidP="00A90B6F"/>
    <w:p w14:paraId="47926AE9" w14:textId="77777777" w:rsidR="003E6A45" w:rsidRDefault="001342BE">
      <w:r>
        <w:t>Members</w:t>
      </w:r>
      <w:r w:rsidR="005D4BD0">
        <w:t xml:space="preserve"> </w:t>
      </w:r>
      <w:r w:rsidR="00BA25DD">
        <w:t>of Management Team</w:t>
      </w:r>
      <w:r w:rsidR="005D4BD0">
        <w:t>(s)</w:t>
      </w:r>
      <w:r w:rsidR="001818BC">
        <w:t xml:space="preserve"> have</w:t>
      </w:r>
      <w:r w:rsidR="008E5C1C">
        <w:t xml:space="preserve"> previously</w:t>
      </w:r>
      <w:r w:rsidR="00A50DE1">
        <w:t xml:space="preserve"> received the information in</w:t>
      </w:r>
      <w:r w:rsidR="001818BC">
        <w:t xml:space="preserve"> </w:t>
      </w:r>
      <w:r w:rsidR="005E0F58">
        <w:t>this report</w:t>
      </w:r>
      <w:r w:rsidR="00E16D84">
        <w:t>.</w:t>
      </w:r>
    </w:p>
    <w:p w14:paraId="571C34F3" w14:textId="77777777" w:rsidR="00F863F2" w:rsidRDefault="00F863F2"/>
    <w:p w14:paraId="702832FA" w14:textId="77777777" w:rsidR="00A90B6F" w:rsidRDefault="003E6A45" w:rsidP="00772BBA">
      <w:r>
        <w:rPr>
          <w:b/>
        </w:rPr>
        <w:t>Implications</w:t>
      </w:r>
      <w:r>
        <w:t>:</w:t>
      </w:r>
    </w:p>
    <w:p w14:paraId="7377D76A" w14:textId="77777777" w:rsidR="00BB6EA6" w:rsidRDefault="00BB6EA6" w:rsidP="00772BBA"/>
    <w:p w14:paraId="5138A5D1" w14:textId="77777777" w:rsidR="00772BBA" w:rsidRDefault="00772BBA" w:rsidP="00772BBA">
      <w:r>
        <w:t>This item has the following implications, as indicated:</w:t>
      </w:r>
    </w:p>
    <w:p w14:paraId="2EA60649" w14:textId="77777777" w:rsidR="00BB6EA6" w:rsidRDefault="00BB6EA6" w:rsidP="00772BBA">
      <w:pPr>
        <w:rPr>
          <w:b/>
        </w:rPr>
      </w:pPr>
    </w:p>
    <w:p w14:paraId="3D43C175" w14:textId="77777777" w:rsidR="00772BBA" w:rsidRDefault="00772BBA" w:rsidP="00772BBA">
      <w:pPr>
        <w:rPr>
          <w:b/>
        </w:rPr>
      </w:pPr>
      <w:r w:rsidRPr="00092B2F">
        <w:rPr>
          <w:b/>
        </w:rPr>
        <w:t>Risk management</w:t>
      </w:r>
    </w:p>
    <w:p w14:paraId="6B618795" w14:textId="77777777" w:rsidR="005273CA" w:rsidRDefault="005273CA" w:rsidP="00772BBA">
      <w:pPr>
        <w:rPr>
          <w:b/>
        </w:rPr>
      </w:pPr>
    </w:p>
    <w:p w14:paraId="179B566B" w14:textId="77777777" w:rsidR="009A1917" w:rsidRDefault="00F863F2" w:rsidP="00F55192">
      <w:pPr>
        <w:jc w:val="both"/>
      </w:pPr>
      <w:r>
        <w:t>No significant risks have been identified in relation to the proposals contained within this report.</w:t>
      </w:r>
    </w:p>
    <w:p w14:paraId="3D4F00F1" w14:textId="77777777" w:rsidR="00CF6C60" w:rsidRDefault="00CF6C60" w:rsidP="00F55192">
      <w:pPr>
        <w:jc w:val="both"/>
      </w:pPr>
    </w:p>
    <w:p w14:paraId="1AE3EEA0" w14:textId="77777777" w:rsidR="00CF6C60" w:rsidRDefault="00CF6C60" w:rsidP="00F55192">
      <w:pPr>
        <w:jc w:val="both"/>
      </w:pPr>
    </w:p>
    <w:p w14:paraId="35463822" w14:textId="77777777" w:rsidR="009A1917" w:rsidRDefault="009A1917" w:rsidP="009A1917">
      <w:pPr>
        <w:jc w:val="both"/>
        <w:rPr>
          <w:b/>
        </w:rPr>
      </w:pPr>
      <w:r w:rsidRPr="00250B13">
        <w:rPr>
          <w:b/>
        </w:rPr>
        <w:t>Local Government (Access to Information) Act 1985</w:t>
      </w:r>
    </w:p>
    <w:p w14:paraId="61E4392E" w14:textId="77777777" w:rsidR="00CF6C60" w:rsidRPr="00250B13" w:rsidRDefault="00CF6C60" w:rsidP="009A1917">
      <w:pPr>
        <w:jc w:val="both"/>
        <w:rPr>
          <w:b/>
        </w:rPr>
      </w:pPr>
    </w:p>
    <w:p w14:paraId="0B7288D5" w14:textId="77777777" w:rsidR="00CF67FC" w:rsidRDefault="003E6A45" w:rsidP="00051CB8">
      <w:pPr>
        <w:pStyle w:val="Heading5"/>
        <w:rPr>
          <w:rFonts w:ascii="Arial" w:hAnsi="Arial"/>
          <w:u w:val="none"/>
        </w:rPr>
      </w:pPr>
      <w:r>
        <w:rPr>
          <w:rFonts w:ascii="Arial" w:hAnsi="Arial"/>
          <w:u w:val="none"/>
        </w:rPr>
        <w:t>List of Background Papers</w:t>
      </w:r>
    </w:p>
    <w:tbl>
      <w:tblPr>
        <w:tblpPr w:leftFromText="180" w:rightFromText="180" w:vertAnchor="text" w:horzAnchor="margin" w:tblpY="64"/>
        <w:tblW w:w="0" w:type="auto"/>
        <w:tblLayout w:type="fixed"/>
        <w:tblLook w:val="0000" w:firstRow="0" w:lastRow="0" w:firstColumn="0" w:lastColumn="0" w:noHBand="0" w:noVBand="0"/>
      </w:tblPr>
      <w:tblGrid>
        <w:gridCol w:w="2888"/>
        <w:gridCol w:w="2485"/>
        <w:gridCol w:w="2848"/>
      </w:tblGrid>
      <w:tr w:rsidR="007D4CAA" w14:paraId="670A8A19" w14:textId="77777777" w:rsidTr="00555526">
        <w:trPr>
          <w:trHeight w:val="1385"/>
        </w:trPr>
        <w:tc>
          <w:tcPr>
            <w:tcW w:w="2888" w:type="dxa"/>
          </w:tcPr>
          <w:p w14:paraId="5154264A" w14:textId="3B8A9C28" w:rsidR="00A61263" w:rsidRPr="00B71361" w:rsidRDefault="007D4CAA" w:rsidP="00A61263">
            <w:pPr>
              <w:pStyle w:val="Heading7"/>
              <w:rPr>
                <w:rFonts w:ascii="Arial" w:hAnsi="Arial"/>
                <w:u w:val="none"/>
              </w:rPr>
            </w:pPr>
            <w:r w:rsidRPr="00B71361">
              <w:rPr>
                <w:rFonts w:ascii="Arial" w:hAnsi="Arial"/>
                <w:u w:val="none"/>
              </w:rPr>
              <w:t>Paper</w:t>
            </w:r>
          </w:p>
          <w:p w14:paraId="54111C40" w14:textId="77777777" w:rsidR="00A61263" w:rsidRPr="00B71361" w:rsidRDefault="00A61263" w:rsidP="00A61263">
            <w:pPr>
              <w:autoSpaceDE w:val="0"/>
              <w:autoSpaceDN w:val="0"/>
              <w:adjustRightInd w:val="0"/>
              <w:rPr>
                <w:rFonts w:ascii="TT24DF5Eo00" w:hAnsi="TT24DF5Eo00" w:cs="TT24DF5Eo00"/>
                <w:szCs w:val="24"/>
              </w:rPr>
            </w:pPr>
            <w:r w:rsidRPr="00B71361">
              <w:rPr>
                <w:rFonts w:ascii="TT24DF5Eo00" w:hAnsi="TT24DF5Eo00" w:cs="TT24DF5Eo00"/>
                <w:szCs w:val="24"/>
              </w:rPr>
              <w:t>Report to the Cabinet</w:t>
            </w:r>
          </w:p>
          <w:p w14:paraId="2F75A33C" w14:textId="77777777" w:rsidR="00A61263" w:rsidRPr="00B71361" w:rsidRDefault="00A61263" w:rsidP="00A61263">
            <w:pPr>
              <w:autoSpaceDE w:val="0"/>
              <w:autoSpaceDN w:val="0"/>
              <w:adjustRightInd w:val="0"/>
              <w:rPr>
                <w:rFonts w:ascii="TT24DF5Eo00" w:hAnsi="TT24DF5Eo00" w:cs="TT24DF5Eo00"/>
                <w:szCs w:val="24"/>
              </w:rPr>
            </w:pPr>
            <w:r w:rsidRPr="00B71361">
              <w:rPr>
                <w:rFonts w:ascii="TT24DF5Eo00" w:hAnsi="TT24DF5Eo00" w:cs="TT24DF5Eo00"/>
                <w:szCs w:val="24"/>
              </w:rPr>
              <w:t>Committee on Performance</w:t>
            </w:r>
          </w:p>
          <w:p w14:paraId="4F04026C" w14:textId="77777777" w:rsidR="00A61263" w:rsidRPr="00B71361" w:rsidRDefault="00A61263" w:rsidP="00A61263">
            <w:pPr>
              <w:autoSpaceDE w:val="0"/>
              <w:autoSpaceDN w:val="0"/>
              <w:adjustRightInd w:val="0"/>
              <w:rPr>
                <w:rFonts w:ascii="TT24DF5Eo00" w:hAnsi="TT24DF5Eo00" w:cs="TT24DF5Eo00"/>
                <w:szCs w:val="24"/>
              </w:rPr>
            </w:pPr>
            <w:r w:rsidRPr="00B71361">
              <w:rPr>
                <w:rFonts w:ascii="TT24DF5Eo00" w:hAnsi="TT24DF5Eo00" w:cs="TT24DF5Eo00"/>
                <w:szCs w:val="24"/>
              </w:rPr>
              <w:t>Improvement – Quarterly</w:t>
            </w:r>
          </w:p>
          <w:p w14:paraId="2772CBBC" w14:textId="79FEB59F" w:rsidR="00A61263" w:rsidRPr="00B71361" w:rsidRDefault="00A61263" w:rsidP="00A61263">
            <w:pPr>
              <w:autoSpaceDE w:val="0"/>
              <w:autoSpaceDN w:val="0"/>
              <w:adjustRightInd w:val="0"/>
              <w:rPr>
                <w:rFonts w:ascii="TT24DF5Eo00" w:hAnsi="TT24DF5Eo00" w:cs="TT24DF5Eo00"/>
                <w:szCs w:val="24"/>
              </w:rPr>
            </w:pPr>
            <w:r w:rsidRPr="00B71361">
              <w:rPr>
                <w:rFonts w:ascii="TT24DF5Eo00" w:hAnsi="TT24DF5Eo00" w:cs="TT24DF5Eo00"/>
                <w:szCs w:val="24"/>
              </w:rPr>
              <w:t xml:space="preserve">Corporate Performance -Quarter 1 2016/17 Report </w:t>
            </w:r>
          </w:p>
          <w:p w14:paraId="4F958D10" w14:textId="77777777" w:rsidR="00A61263" w:rsidRPr="00B71361" w:rsidRDefault="00A61263" w:rsidP="00986178">
            <w:pPr>
              <w:autoSpaceDE w:val="0"/>
              <w:autoSpaceDN w:val="0"/>
              <w:adjustRightInd w:val="0"/>
              <w:rPr>
                <w:rFonts w:ascii="TT24DF5Eo00" w:hAnsi="TT24DF5Eo00" w:cs="TT24DF5Eo00"/>
                <w:szCs w:val="24"/>
              </w:rPr>
            </w:pPr>
          </w:p>
          <w:p w14:paraId="07C2FCA3" w14:textId="77777777" w:rsidR="00986178" w:rsidRPr="00B71361" w:rsidRDefault="00986178" w:rsidP="00986178">
            <w:pPr>
              <w:autoSpaceDE w:val="0"/>
              <w:autoSpaceDN w:val="0"/>
              <w:adjustRightInd w:val="0"/>
              <w:rPr>
                <w:rFonts w:ascii="TT24DF5Eo00" w:hAnsi="TT24DF5Eo00" w:cs="TT24DF5Eo00"/>
                <w:szCs w:val="24"/>
              </w:rPr>
            </w:pPr>
            <w:r w:rsidRPr="00B71361">
              <w:rPr>
                <w:rFonts w:ascii="TT24DF5Eo00" w:hAnsi="TT24DF5Eo00" w:cs="TT24DF5Eo00"/>
                <w:szCs w:val="24"/>
              </w:rPr>
              <w:t>Report to the Cabinet</w:t>
            </w:r>
          </w:p>
          <w:p w14:paraId="5E62C005" w14:textId="77777777" w:rsidR="00986178" w:rsidRPr="00B71361" w:rsidRDefault="00986178" w:rsidP="00986178">
            <w:pPr>
              <w:autoSpaceDE w:val="0"/>
              <w:autoSpaceDN w:val="0"/>
              <w:adjustRightInd w:val="0"/>
              <w:rPr>
                <w:rFonts w:ascii="TT24DF5Eo00" w:hAnsi="TT24DF5Eo00" w:cs="TT24DF5Eo00"/>
                <w:szCs w:val="24"/>
              </w:rPr>
            </w:pPr>
            <w:r w:rsidRPr="00B71361">
              <w:rPr>
                <w:rFonts w:ascii="TT24DF5Eo00" w:hAnsi="TT24DF5Eo00" w:cs="TT24DF5Eo00"/>
                <w:szCs w:val="24"/>
              </w:rPr>
              <w:t>Committee on Performance</w:t>
            </w:r>
          </w:p>
          <w:p w14:paraId="0D6D729C" w14:textId="77777777" w:rsidR="00986178" w:rsidRPr="00B71361" w:rsidRDefault="00986178" w:rsidP="00986178">
            <w:pPr>
              <w:autoSpaceDE w:val="0"/>
              <w:autoSpaceDN w:val="0"/>
              <w:adjustRightInd w:val="0"/>
              <w:rPr>
                <w:rFonts w:ascii="TT24DF5Eo00" w:hAnsi="TT24DF5Eo00" w:cs="TT24DF5Eo00"/>
                <w:szCs w:val="24"/>
              </w:rPr>
            </w:pPr>
            <w:r w:rsidRPr="00B71361">
              <w:rPr>
                <w:rFonts w:ascii="TT24DF5Eo00" w:hAnsi="TT24DF5Eo00" w:cs="TT24DF5Eo00"/>
                <w:szCs w:val="24"/>
              </w:rPr>
              <w:t>Improvement – Quarterly</w:t>
            </w:r>
          </w:p>
          <w:p w14:paraId="3AD288A3" w14:textId="642020DC" w:rsidR="00986178" w:rsidRPr="00B71361" w:rsidRDefault="00986178" w:rsidP="00986178">
            <w:pPr>
              <w:autoSpaceDE w:val="0"/>
              <w:autoSpaceDN w:val="0"/>
              <w:adjustRightInd w:val="0"/>
              <w:rPr>
                <w:rFonts w:ascii="TT24DF5Eo00" w:hAnsi="TT24DF5Eo00" w:cs="TT24DF5Eo00"/>
                <w:szCs w:val="24"/>
              </w:rPr>
            </w:pPr>
            <w:r w:rsidRPr="00B71361">
              <w:rPr>
                <w:rFonts w:ascii="TT24DF5Eo00" w:hAnsi="TT24DF5Eo00" w:cs="TT24DF5Eo00"/>
                <w:szCs w:val="24"/>
              </w:rPr>
              <w:t xml:space="preserve">Corporate Performance -Quarter 1 2016/17 Report </w:t>
            </w:r>
          </w:p>
          <w:p w14:paraId="0F52F33F" w14:textId="77777777" w:rsidR="00986178" w:rsidRPr="00986178" w:rsidRDefault="00986178" w:rsidP="00986178"/>
          <w:p w14:paraId="372BECC1" w14:textId="77777777" w:rsidR="00BB6FFC" w:rsidRDefault="00BB6FFC" w:rsidP="007D4CAA">
            <w:pPr>
              <w:autoSpaceDE w:val="0"/>
              <w:autoSpaceDN w:val="0"/>
              <w:adjustRightInd w:val="0"/>
              <w:rPr>
                <w:rFonts w:ascii="TT24DF5Eo00" w:hAnsi="TT24DF5Eo00" w:cs="TT24DF5Eo00"/>
                <w:i/>
                <w:szCs w:val="24"/>
              </w:rPr>
            </w:pPr>
          </w:p>
          <w:p w14:paraId="054F03DD" w14:textId="77777777" w:rsidR="006D5490" w:rsidRDefault="006D5490" w:rsidP="007D4CAA">
            <w:pPr>
              <w:autoSpaceDE w:val="0"/>
              <w:autoSpaceDN w:val="0"/>
              <w:adjustRightInd w:val="0"/>
              <w:rPr>
                <w:rFonts w:ascii="TT24DF5Eo00" w:hAnsi="TT24DF5Eo00" w:cs="TT24DF5Eo00"/>
                <w:i/>
                <w:szCs w:val="24"/>
              </w:rPr>
            </w:pPr>
          </w:p>
          <w:p w14:paraId="4353E46A" w14:textId="77777777" w:rsidR="006D5490" w:rsidRPr="00442F09" w:rsidRDefault="006D5490" w:rsidP="006D5490">
            <w:pPr>
              <w:autoSpaceDE w:val="0"/>
              <w:autoSpaceDN w:val="0"/>
              <w:adjustRightInd w:val="0"/>
              <w:rPr>
                <w:rFonts w:ascii="TT24DF5Eo00" w:hAnsi="TT24DF5Eo00" w:cs="TT24DF5Eo00"/>
                <w:i/>
                <w:szCs w:val="24"/>
              </w:rPr>
            </w:pPr>
          </w:p>
        </w:tc>
        <w:tc>
          <w:tcPr>
            <w:tcW w:w="2485" w:type="dxa"/>
          </w:tcPr>
          <w:p w14:paraId="046E9A04" w14:textId="77777777" w:rsidR="007D4CAA" w:rsidRDefault="007D4CAA" w:rsidP="007D4CAA">
            <w:pPr>
              <w:pStyle w:val="Heading7"/>
              <w:rPr>
                <w:rFonts w:ascii="Arial" w:hAnsi="Arial"/>
                <w:u w:val="none"/>
              </w:rPr>
            </w:pPr>
            <w:r>
              <w:rPr>
                <w:rFonts w:ascii="Arial" w:hAnsi="Arial"/>
                <w:u w:val="none"/>
              </w:rPr>
              <w:t>Date</w:t>
            </w:r>
          </w:p>
          <w:p w14:paraId="4226F39D" w14:textId="406460FA" w:rsidR="00A61263" w:rsidRDefault="00A61263" w:rsidP="00986178">
            <w:r>
              <w:t>5 December 2016</w:t>
            </w:r>
          </w:p>
          <w:p w14:paraId="6B5CA194" w14:textId="77777777" w:rsidR="00A61263" w:rsidRDefault="00A61263" w:rsidP="00986178"/>
          <w:p w14:paraId="5BAF98E9" w14:textId="77777777" w:rsidR="00A61263" w:rsidRDefault="00A61263" w:rsidP="00986178"/>
          <w:p w14:paraId="7A89FD14" w14:textId="77777777" w:rsidR="00A61263" w:rsidRDefault="00A61263" w:rsidP="00986178"/>
          <w:p w14:paraId="1ABEF1B0" w14:textId="77777777" w:rsidR="00A61263" w:rsidRDefault="00A61263" w:rsidP="00986178"/>
          <w:p w14:paraId="2A4AA583" w14:textId="77777777" w:rsidR="00A61263" w:rsidRDefault="00A61263" w:rsidP="00986178"/>
          <w:p w14:paraId="66873299" w14:textId="77777777" w:rsidR="00A61263" w:rsidRDefault="00A61263" w:rsidP="00986178"/>
          <w:p w14:paraId="64E76BB5" w14:textId="77777777" w:rsidR="00A61263" w:rsidRDefault="00A61263" w:rsidP="00986178"/>
          <w:p w14:paraId="17178F68" w14:textId="13C20A31" w:rsidR="00986178" w:rsidRDefault="00986178" w:rsidP="00986178">
            <w:r>
              <w:t>25 October 2016</w:t>
            </w:r>
          </w:p>
          <w:p w14:paraId="7C4A660A" w14:textId="77777777" w:rsidR="00986178" w:rsidRDefault="00986178" w:rsidP="00986178"/>
          <w:p w14:paraId="4D3989A3" w14:textId="77777777" w:rsidR="00986178" w:rsidRDefault="00986178" w:rsidP="00986178"/>
          <w:p w14:paraId="336223BB" w14:textId="77777777" w:rsidR="00986178" w:rsidRDefault="00986178" w:rsidP="00986178"/>
          <w:p w14:paraId="57019DE4" w14:textId="77777777" w:rsidR="00986178" w:rsidRDefault="00986178" w:rsidP="00986178"/>
          <w:p w14:paraId="74130F50" w14:textId="77777777" w:rsidR="00986178" w:rsidRDefault="00986178" w:rsidP="00986178"/>
          <w:p w14:paraId="1A3F67F3" w14:textId="77777777" w:rsidR="00986178" w:rsidRDefault="00986178" w:rsidP="00986178"/>
          <w:p w14:paraId="0DB9FC67" w14:textId="77777777" w:rsidR="00986178" w:rsidRPr="00986178" w:rsidRDefault="00986178" w:rsidP="00986178"/>
          <w:p w14:paraId="1BEAFF7F" w14:textId="77777777" w:rsidR="00BB6FFC" w:rsidRDefault="00BB6FFC" w:rsidP="007D4CAA"/>
          <w:p w14:paraId="21587D09" w14:textId="77777777" w:rsidR="00BB6FFC" w:rsidRDefault="00BB6FFC" w:rsidP="007D4CAA"/>
          <w:p w14:paraId="5AC18A33" w14:textId="77777777" w:rsidR="00BB6FFC" w:rsidRDefault="00BB6FFC" w:rsidP="007D4CAA"/>
          <w:p w14:paraId="4DDFAEC1" w14:textId="77777777" w:rsidR="00BB6FFC" w:rsidRDefault="00BB6FFC" w:rsidP="007D4CAA"/>
          <w:p w14:paraId="193FEEFE" w14:textId="77777777" w:rsidR="00BB6FFC" w:rsidRDefault="00BB6FFC" w:rsidP="007D4CAA"/>
          <w:p w14:paraId="44C047B0" w14:textId="77777777" w:rsidR="00BB6FFC" w:rsidRDefault="00BB6FFC" w:rsidP="007D4CAA"/>
          <w:p w14:paraId="30CD944A" w14:textId="77777777" w:rsidR="007D4CAA" w:rsidRDefault="007D4CAA" w:rsidP="007D4CAA"/>
          <w:p w14:paraId="59BEA210" w14:textId="77777777" w:rsidR="007D4CAA" w:rsidRDefault="007D4CAA" w:rsidP="007D4CAA"/>
          <w:p w14:paraId="015C2F16" w14:textId="77777777" w:rsidR="007D4CAA" w:rsidRDefault="007D4CAA" w:rsidP="007D4CAA"/>
          <w:p w14:paraId="4887085A" w14:textId="77777777" w:rsidR="007D4CAA" w:rsidRDefault="007D4CAA" w:rsidP="007D4CAA"/>
          <w:p w14:paraId="7F5848B9" w14:textId="77777777" w:rsidR="007D4CAA" w:rsidRDefault="007D4CAA" w:rsidP="007D4CAA"/>
          <w:p w14:paraId="78EAD950" w14:textId="77777777" w:rsidR="007D4CAA" w:rsidRDefault="007D4CAA" w:rsidP="007D4CAA"/>
          <w:p w14:paraId="649FD8DB" w14:textId="77777777" w:rsidR="007D4CAA" w:rsidRPr="009F5A37" w:rsidRDefault="007D4CAA" w:rsidP="007D4CAA"/>
        </w:tc>
        <w:tc>
          <w:tcPr>
            <w:tcW w:w="2847" w:type="dxa"/>
          </w:tcPr>
          <w:p w14:paraId="634F4111" w14:textId="77777777" w:rsidR="007D4CAA" w:rsidRDefault="007D4CAA" w:rsidP="007D4CAA">
            <w:pPr>
              <w:pStyle w:val="Heading7"/>
              <w:rPr>
                <w:rFonts w:ascii="Arial" w:hAnsi="Arial"/>
                <w:u w:val="none"/>
              </w:rPr>
            </w:pPr>
            <w:r>
              <w:rPr>
                <w:rFonts w:ascii="Arial" w:hAnsi="Arial"/>
                <w:u w:val="none"/>
              </w:rPr>
              <w:t>Contact/Directorate/Tel</w:t>
            </w:r>
          </w:p>
          <w:p w14:paraId="4ABC99C8" w14:textId="77777777" w:rsidR="00A61263" w:rsidRDefault="00A61263" w:rsidP="00A61263">
            <w:r>
              <w:t>Michael Walder, Business Intelligence Team, 01772 533637</w:t>
            </w:r>
          </w:p>
          <w:p w14:paraId="0CBC4B64" w14:textId="77777777" w:rsidR="00A61263" w:rsidRDefault="00A61263" w:rsidP="00986178"/>
          <w:p w14:paraId="2EA4E2AB" w14:textId="77777777" w:rsidR="00A61263" w:rsidRDefault="00A61263" w:rsidP="00986178"/>
          <w:p w14:paraId="06987B76" w14:textId="77777777" w:rsidR="00A61263" w:rsidRDefault="00A61263" w:rsidP="00986178"/>
          <w:p w14:paraId="22C52055" w14:textId="77777777" w:rsidR="00A61263" w:rsidRDefault="00A61263" w:rsidP="00986178"/>
          <w:p w14:paraId="7F7614C6" w14:textId="77777777" w:rsidR="00A61263" w:rsidRDefault="00A61263" w:rsidP="00986178"/>
          <w:p w14:paraId="11FA2F74" w14:textId="77777777" w:rsidR="00986178" w:rsidRDefault="00986178" w:rsidP="00986178">
            <w:r>
              <w:t>Michael Walder, Business Intelligence Team, 01772 533637</w:t>
            </w:r>
          </w:p>
          <w:p w14:paraId="3314C66C" w14:textId="77777777" w:rsidR="00986178" w:rsidRDefault="00986178" w:rsidP="007D4CAA"/>
          <w:p w14:paraId="3F0CF041" w14:textId="77777777" w:rsidR="00986178" w:rsidRDefault="00986178" w:rsidP="007D4CAA"/>
          <w:p w14:paraId="6E69D157" w14:textId="77777777" w:rsidR="00986178" w:rsidRDefault="00986178" w:rsidP="007D4CAA"/>
          <w:p w14:paraId="3EB3EAA6" w14:textId="77777777" w:rsidR="00BB6FFC" w:rsidRDefault="00BB6FFC" w:rsidP="007D4CAA"/>
          <w:p w14:paraId="3F99797B" w14:textId="77777777" w:rsidR="00986178" w:rsidRDefault="00986178" w:rsidP="007D4CAA"/>
          <w:p w14:paraId="37843C50" w14:textId="77777777" w:rsidR="006D5490" w:rsidRPr="009F5A37" w:rsidRDefault="006D5490" w:rsidP="00A61263"/>
        </w:tc>
      </w:tr>
      <w:tr w:rsidR="007D4CAA" w14:paraId="6DF7C726" w14:textId="77777777" w:rsidTr="00555526">
        <w:trPr>
          <w:trHeight w:val="111"/>
        </w:trPr>
        <w:tc>
          <w:tcPr>
            <w:tcW w:w="2888" w:type="dxa"/>
          </w:tcPr>
          <w:p w14:paraId="1A60D466" w14:textId="77777777" w:rsidR="007D4CAA" w:rsidRPr="00EB37C2" w:rsidRDefault="007D4CAA" w:rsidP="007D4CAA">
            <w:pPr>
              <w:rPr>
                <w:i/>
              </w:rPr>
            </w:pPr>
          </w:p>
        </w:tc>
        <w:tc>
          <w:tcPr>
            <w:tcW w:w="2485" w:type="dxa"/>
          </w:tcPr>
          <w:p w14:paraId="0FC11570" w14:textId="77777777" w:rsidR="007D4CAA" w:rsidRDefault="007D4CAA" w:rsidP="007D4CAA"/>
        </w:tc>
        <w:tc>
          <w:tcPr>
            <w:tcW w:w="2847" w:type="dxa"/>
          </w:tcPr>
          <w:p w14:paraId="7D602EFE" w14:textId="77777777" w:rsidR="007D4CAA" w:rsidRDefault="007D4CAA" w:rsidP="007D4CAA"/>
        </w:tc>
      </w:tr>
      <w:tr w:rsidR="007D4CAA" w14:paraId="53A65A6D" w14:textId="77777777" w:rsidTr="00555526">
        <w:trPr>
          <w:trHeight w:val="288"/>
        </w:trPr>
        <w:tc>
          <w:tcPr>
            <w:tcW w:w="8221" w:type="dxa"/>
            <w:gridSpan w:val="3"/>
          </w:tcPr>
          <w:p w14:paraId="03E9718D" w14:textId="77777777" w:rsidR="00DF79EA" w:rsidRDefault="00DF79EA" w:rsidP="00DF79EA">
            <w:pPr>
              <w:ind w:right="-784"/>
              <w:rPr>
                <w:rFonts w:cs="Arial"/>
                <w:b/>
              </w:rPr>
            </w:pPr>
          </w:p>
          <w:p w14:paraId="1D2E1866" w14:textId="77777777" w:rsidR="00DF79EA" w:rsidRDefault="00DF79EA" w:rsidP="00DF79EA">
            <w:pPr>
              <w:ind w:right="-784"/>
              <w:rPr>
                <w:rFonts w:cs="Arial"/>
                <w:b/>
              </w:rPr>
            </w:pPr>
            <w:r>
              <w:rPr>
                <w:rFonts w:cs="Arial"/>
                <w:b/>
              </w:rPr>
              <w:lastRenderedPageBreak/>
              <w:t>Appendix A</w:t>
            </w:r>
          </w:p>
          <w:p w14:paraId="7D557CEC" w14:textId="77777777" w:rsidR="00DD148E" w:rsidRPr="00EB37C2" w:rsidRDefault="00DD148E" w:rsidP="007D4CAA">
            <w:pPr>
              <w:rPr>
                <w:i/>
              </w:rPr>
            </w:pPr>
          </w:p>
        </w:tc>
      </w:tr>
    </w:tbl>
    <w:p w14:paraId="4E184A18" w14:textId="77777777" w:rsidR="002F0EDF" w:rsidRDefault="002F0EDF" w:rsidP="00350AEB">
      <w:pPr>
        <w:rPr>
          <w:rFonts w:cs="Arial"/>
          <w:b/>
        </w:rPr>
      </w:pPr>
    </w:p>
    <w:p w14:paraId="14DF608D" w14:textId="77777777" w:rsidR="002F0EDF" w:rsidRDefault="002F0EDF" w:rsidP="00350AEB">
      <w:pPr>
        <w:rPr>
          <w:rFonts w:cs="Arial"/>
          <w:b/>
        </w:rPr>
      </w:pPr>
    </w:p>
    <w:p w14:paraId="5887AEEE" w14:textId="77777777" w:rsidR="002F0EDF" w:rsidRDefault="002F0EDF" w:rsidP="00350AEB">
      <w:pPr>
        <w:rPr>
          <w:rFonts w:cs="Arial"/>
          <w:b/>
        </w:rPr>
      </w:pPr>
    </w:p>
    <w:p w14:paraId="07255B37" w14:textId="77777777" w:rsidR="00DF79EA" w:rsidRPr="001345EE" w:rsidRDefault="00DF79EA" w:rsidP="00DF79EA">
      <w:pPr>
        <w:rPr>
          <w:rFonts w:cs="Arial"/>
        </w:rPr>
      </w:pPr>
      <w:r w:rsidRPr="00EA50AF">
        <w:rPr>
          <w:rFonts w:cs="Arial"/>
          <w:b/>
        </w:rPr>
        <w:t xml:space="preserve">Financial </w:t>
      </w:r>
      <w:r w:rsidRPr="007C41D9">
        <w:rPr>
          <w:rFonts w:cs="Arial"/>
          <w:b/>
        </w:rPr>
        <w:t>Summary</w:t>
      </w:r>
      <w:r w:rsidRPr="007C41D9">
        <w:rPr>
          <w:rFonts w:cs="Arial"/>
          <w:color w:val="0070C0"/>
        </w:rPr>
        <w:t xml:space="preserve"> </w:t>
      </w:r>
    </w:p>
    <w:p w14:paraId="3F28F66B" w14:textId="77777777" w:rsidR="00DF79EA" w:rsidRPr="00774AC4" w:rsidRDefault="00DF79EA" w:rsidP="00DF79EA">
      <w:pPr>
        <w:pStyle w:val="NoSpacing"/>
        <w:rPr>
          <w:rFonts w:ascii="Arial" w:hAnsi="Arial" w:cs="Arial"/>
        </w:rPr>
      </w:pPr>
      <w:r w:rsidRPr="00774AC4">
        <w:rPr>
          <w:rFonts w:ascii="Arial" w:hAnsi="Arial" w:cs="Arial"/>
        </w:rPr>
        <w:t>The table below gives the County Council’s financial position for 2016/17 as of the end of Quarter 3.</w:t>
      </w:r>
    </w:p>
    <w:p w14:paraId="21822B82" w14:textId="77777777" w:rsidR="00DF79EA" w:rsidRDefault="00DF79EA" w:rsidP="00DF79EA">
      <w:pPr>
        <w:tabs>
          <w:tab w:val="left" w:pos="851"/>
          <w:tab w:val="left" w:pos="1418"/>
        </w:tabs>
        <w:rPr>
          <w:rFonts w:cs="Arial"/>
        </w:rPr>
      </w:pPr>
    </w:p>
    <w:p w14:paraId="7DC3C8E6" w14:textId="77777777" w:rsidR="00DF79EA" w:rsidRDefault="00DF79EA" w:rsidP="00DF79EA">
      <w:pPr>
        <w:tabs>
          <w:tab w:val="left" w:pos="851"/>
          <w:tab w:val="left" w:pos="1418"/>
        </w:tabs>
        <w:rPr>
          <w:rFonts w:cs="Arial"/>
        </w:rPr>
      </w:pPr>
    </w:p>
    <w:tbl>
      <w:tblPr>
        <w:tblW w:w="9158" w:type="dxa"/>
        <w:tblInd w:w="7" w:type="dxa"/>
        <w:tblCellMar>
          <w:left w:w="0" w:type="dxa"/>
          <w:right w:w="0" w:type="dxa"/>
        </w:tblCellMar>
        <w:tblLook w:val="04A0" w:firstRow="1" w:lastRow="0" w:firstColumn="1" w:lastColumn="0" w:noHBand="0" w:noVBand="1"/>
      </w:tblPr>
      <w:tblGrid>
        <w:gridCol w:w="615"/>
        <w:gridCol w:w="3471"/>
        <w:gridCol w:w="1149"/>
        <w:gridCol w:w="1008"/>
        <w:gridCol w:w="1123"/>
        <w:gridCol w:w="896"/>
        <w:gridCol w:w="896"/>
      </w:tblGrid>
      <w:tr w:rsidR="00DF79EA" w14:paraId="137AF301" w14:textId="77777777" w:rsidTr="00DF79EA">
        <w:trPr>
          <w:trHeight w:val="1504"/>
        </w:trPr>
        <w:tc>
          <w:tcPr>
            <w:tcW w:w="615" w:type="dxa"/>
            <w:tcBorders>
              <w:top w:val="single" w:sz="8" w:space="0" w:color="auto"/>
              <w:left w:val="single" w:sz="8"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19CBDC64" w14:textId="77777777" w:rsidR="00DF79EA" w:rsidRPr="00B665AB" w:rsidRDefault="00DF79EA" w:rsidP="003D289B">
            <w:pPr>
              <w:rPr>
                <w:rFonts w:cs="Arial"/>
                <w:b/>
                <w:bCs/>
              </w:rPr>
            </w:pPr>
            <w:r w:rsidRPr="00B665AB">
              <w:rPr>
                <w:b/>
                <w:bCs/>
              </w:rPr>
              <w:t>Ref</w:t>
            </w:r>
          </w:p>
        </w:tc>
        <w:tc>
          <w:tcPr>
            <w:tcW w:w="3471" w:type="dxa"/>
            <w:tcBorders>
              <w:top w:val="single" w:sz="8" w:space="0" w:color="auto"/>
              <w:left w:val="single" w:sz="4" w:space="0" w:color="auto"/>
              <w:bottom w:val="single" w:sz="4" w:space="0" w:color="auto"/>
              <w:right w:val="single" w:sz="8" w:space="0" w:color="auto"/>
            </w:tcBorders>
            <w:shd w:val="clear" w:color="auto" w:fill="F2F2F2"/>
            <w:tcMar>
              <w:top w:w="0" w:type="dxa"/>
              <w:left w:w="108" w:type="dxa"/>
              <w:bottom w:w="0" w:type="dxa"/>
              <w:right w:w="108" w:type="dxa"/>
            </w:tcMar>
            <w:vAlign w:val="center"/>
            <w:hideMark/>
          </w:tcPr>
          <w:p w14:paraId="3CD2AAB7" w14:textId="77777777" w:rsidR="00DF79EA" w:rsidRPr="00B665AB" w:rsidRDefault="00DF79EA" w:rsidP="003D289B">
            <w:pPr>
              <w:pStyle w:val="NoSpacing"/>
              <w:rPr>
                <w:b/>
              </w:rPr>
            </w:pPr>
            <w:r w:rsidRPr="00B665AB">
              <w:rPr>
                <w:b/>
              </w:rPr>
              <w:t>Service Grouping</w:t>
            </w:r>
          </w:p>
        </w:tc>
        <w:tc>
          <w:tcPr>
            <w:tcW w:w="1149" w:type="dxa"/>
            <w:tcBorders>
              <w:top w:val="single" w:sz="8" w:space="0" w:color="auto"/>
              <w:left w:val="nil"/>
              <w:bottom w:val="single" w:sz="4" w:space="0" w:color="auto"/>
              <w:right w:val="single" w:sz="8" w:space="0" w:color="auto"/>
            </w:tcBorders>
            <w:shd w:val="clear" w:color="auto" w:fill="F2F2F2"/>
            <w:tcMar>
              <w:top w:w="0" w:type="dxa"/>
              <w:left w:w="108" w:type="dxa"/>
              <w:bottom w:w="0" w:type="dxa"/>
              <w:right w:w="108" w:type="dxa"/>
            </w:tcMar>
            <w:vAlign w:val="center"/>
            <w:hideMark/>
          </w:tcPr>
          <w:p w14:paraId="78EC05C5" w14:textId="77777777" w:rsidR="00DF79EA" w:rsidRPr="00B665AB" w:rsidRDefault="00DF79EA" w:rsidP="003D289B">
            <w:pPr>
              <w:pStyle w:val="NoSpacing"/>
              <w:jc w:val="center"/>
              <w:rPr>
                <w:b/>
              </w:rPr>
            </w:pPr>
            <w:r w:rsidRPr="00B665AB">
              <w:rPr>
                <w:b/>
              </w:rPr>
              <w:t>Approved  Budget</w:t>
            </w:r>
          </w:p>
        </w:tc>
        <w:tc>
          <w:tcPr>
            <w:tcW w:w="1008" w:type="dxa"/>
            <w:tcBorders>
              <w:top w:val="single" w:sz="8" w:space="0" w:color="auto"/>
              <w:left w:val="nil"/>
              <w:bottom w:val="single" w:sz="4" w:space="0" w:color="auto"/>
              <w:right w:val="single" w:sz="8" w:space="0" w:color="auto"/>
            </w:tcBorders>
            <w:shd w:val="clear" w:color="auto" w:fill="F2F2F2"/>
            <w:tcMar>
              <w:top w:w="0" w:type="dxa"/>
              <w:left w:w="108" w:type="dxa"/>
              <w:bottom w:w="0" w:type="dxa"/>
              <w:right w:w="108" w:type="dxa"/>
            </w:tcMar>
            <w:vAlign w:val="center"/>
            <w:hideMark/>
          </w:tcPr>
          <w:p w14:paraId="11A647DC" w14:textId="77777777" w:rsidR="00DF79EA" w:rsidRPr="00B665AB" w:rsidRDefault="00DF79EA" w:rsidP="003D289B">
            <w:pPr>
              <w:pStyle w:val="NoSpacing"/>
              <w:jc w:val="center"/>
              <w:rPr>
                <w:b/>
              </w:rPr>
            </w:pPr>
            <w:r w:rsidRPr="00B665AB">
              <w:rPr>
                <w:b/>
              </w:rPr>
              <w:t>Current Period Forecast Outturn</w:t>
            </w:r>
          </w:p>
        </w:tc>
        <w:tc>
          <w:tcPr>
            <w:tcW w:w="1123" w:type="dxa"/>
            <w:tcBorders>
              <w:top w:val="single" w:sz="8" w:space="0" w:color="auto"/>
              <w:left w:val="nil"/>
              <w:bottom w:val="single" w:sz="4" w:space="0" w:color="auto"/>
              <w:right w:val="single" w:sz="8" w:space="0" w:color="auto"/>
            </w:tcBorders>
            <w:shd w:val="clear" w:color="auto" w:fill="F2F2F2"/>
            <w:tcMar>
              <w:top w:w="0" w:type="dxa"/>
              <w:left w:w="108" w:type="dxa"/>
              <w:bottom w:w="0" w:type="dxa"/>
              <w:right w:w="108" w:type="dxa"/>
            </w:tcMar>
            <w:vAlign w:val="center"/>
            <w:hideMark/>
          </w:tcPr>
          <w:p w14:paraId="331F8EFA" w14:textId="77777777" w:rsidR="00DF79EA" w:rsidRPr="00B665AB" w:rsidRDefault="00DF79EA" w:rsidP="003D289B">
            <w:pPr>
              <w:pStyle w:val="NoSpacing"/>
              <w:jc w:val="center"/>
              <w:rPr>
                <w:b/>
              </w:rPr>
            </w:pPr>
            <w:r w:rsidRPr="00B665AB">
              <w:rPr>
                <w:b/>
              </w:rPr>
              <w:t>Current Period Forecast Variance</w:t>
            </w:r>
          </w:p>
        </w:tc>
        <w:tc>
          <w:tcPr>
            <w:tcW w:w="896" w:type="dxa"/>
            <w:tcBorders>
              <w:top w:val="single" w:sz="8" w:space="0" w:color="auto"/>
              <w:left w:val="nil"/>
              <w:bottom w:val="single" w:sz="4" w:space="0" w:color="auto"/>
              <w:right w:val="single" w:sz="8" w:space="0" w:color="auto"/>
            </w:tcBorders>
            <w:shd w:val="clear" w:color="auto" w:fill="F2F2F2"/>
            <w:vAlign w:val="center"/>
          </w:tcPr>
          <w:p w14:paraId="5CBCCE4E" w14:textId="77777777" w:rsidR="00DF79EA" w:rsidRPr="00B665AB" w:rsidRDefault="00DF79EA" w:rsidP="003D289B">
            <w:pPr>
              <w:pStyle w:val="NoSpacing"/>
              <w:jc w:val="center"/>
              <w:rPr>
                <w:b/>
              </w:rPr>
            </w:pPr>
            <w:r w:rsidRPr="00B665AB">
              <w:rPr>
                <w:b/>
              </w:rPr>
              <w:t>Q2  Cabinet</w:t>
            </w:r>
          </w:p>
          <w:p w14:paraId="52437D19" w14:textId="77777777" w:rsidR="00DF79EA" w:rsidRPr="00B665AB" w:rsidRDefault="00DF79EA" w:rsidP="003D289B">
            <w:pPr>
              <w:pStyle w:val="NoSpacing"/>
              <w:jc w:val="center"/>
              <w:rPr>
                <w:b/>
              </w:rPr>
            </w:pPr>
            <w:r w:rsidRPr="00B665AB">
              <w:rPr>
                <w:b/>
              </w:rPr>
              <w:t>Forecast Variance</w:t>
            </w:r>
          </w:p>
        </w:tc>
        <w:tc>
          <w:tcPr>
            <w:tcW w:w="896" w:type="dxa"/>
            <w:tcBorders>
              <w:top w:val="single" w:sz="8" w:space="0" w:color="auto"/>
              <w:left w:val="nil"/>
              <w:bottom w:val="single" w:sz="4" w:space="0" w:color="auto"/>
              <w:right w:val="single" w:sz="8" w:space="0" w:color="auto"/>
            </w:tcBorders>
            <w:shd w:val="clear" w:color="auto" w:fill="F2F2F2"/>
            <w:vAlign w:val="center"/>
          </w:tcPr>
          <w:p w14:paraId="0222FE1B" w14:textId="77777777" w:rsidR="00DF79EA" w:rsidRPr="00B665AB" w:rsidRDefault="00DF79EA" w:rsidP="003D289B">
            <w:pPr>
              <w:pStyle w:val="NoSpacing"/>
              <w:jc w:val="center"/>
              <w:rPr>
                <w:b/>
              </w:rPr>
            </w:pPr>
            <w:r w:rsidRPr="00B665AB">
              <w:rPr>
                <w:b/>
              </w:rPr>
              <w:t>Current Period Forecast Variance</w:t>
            </w:r>
          </w:p>
        </w:tc>
      </w:tr>
      <w:tr w:rsidR="00DF79EA" w14:paraId="102FB87E" w14:textId="77777777" w:rsidTr="00DF79EA">
        <w:trPr>
          <w:trHeight w:val="244"/>
        </w:trPr>
        <w:tc>
          <w:tcPr>
            <w:tcW w:w="615" w:type="dxa"/>
            <w:tcBorders>
              <w:top w:val="single" w:sz="4"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bottom"/>
            <w:hideMark/>
          </w:tcPr>
          <w:p w14:paraId="6EC932BF" w14:textId="77777777" w:rsidR="00DF79EA" w:rsidRPr="00B665AB" w:rsidRDefault="00DF79EA" w:rsidP="003D289B">
            <w:pPr>
              <w:jc w:val="center"/>
              <w:rPr>
                <w:b/>
                <w:bCs/>
              </w:rPr>
            </w:pPr>
            <w:r w:rsidRPr="00B665AB">
              <w:rPr>
                <w:b/>
                <w:bCs/>
              </w:rPr>
              <w:t> </w:t>
            </w:r>
          </w:p>
        </w:tc>
        <w:tc>
          <w:tcPr>
            <w:tcW w:w="3471" w:type="dxa"/>
            <w:tcBorders>
              <w:top w:val="single" w:sz="4" w:space="0" w:color="auto"/>
              <w:left w:val="nil"/>
              <w:bottom w:val="single" w:sz="8" w:space="0" w:color="auto"/>
              <w:right w:val="single" w:sz="8" w:space="0" w:color="auto"/>
            </w:tcBorders>
            <w:shd w:val="clear" w:color="auto" w:fill="F2F2F2"/>
            <w:tcMar>
              <w:top w:w="0" w:type="dxa"/>
              <w:left w:w="108" w:type="dxa"/>
              <w:bottom w:w="0" w:type="dxa"/>
              <w:right w:w="108" w:type="dxa"/>
            </w:tcMar>
            <w:vAlign w:val="bottom"/>
            <w:hideMark/>
          </w:tcPr>
          <w:p w14:paraId="37ACC1DF" w14:textId="77777777" w:rsidR="00DF79EA" w:rsidRPr="00B665AB" w:rsidRDefault="00DF79EA" w:rsidP="003D289B">
            <w:pPr>
              <w:pStyle w:val="NoSpacing"/>
              <w:rPr>
                <w:b/>
              </w:rPr>
            </w:pPr>
            <w:r w:rsidRPr="00B665AB">
              <w:rPr>
                <w:b/>
              </w:rPr>
              <w:t> </w:t>
            </w:r>
          </w:p>
        </w:tc>
        <w:tc>
          <w:tcPr>
            <w:tcW w:w="1149" w:type="dxa"/>
            <w:tcBorders>
              <w:top w:val="single" w:sz="4" w:space="0" w:color="auto"/>
              <w:left w:val="nil"/>
              <w:bottom w:val="single" w:sz="8" w:space="0" w:color="auto"/>
              <w:right w:val="single" w:sz="8" w:space="0" w:color="auto"/>
            </w:tcBorders>
            <w:shd w:val="clear" w:color="auto" w:fill="F2F2F2"/>
            <w:tcMar>
              <w:top w:w="0" w:type="dxa"/>
              <w:left w:w="108" w:type="dxa"/>
              <w:bottom w:w="0" w:type="dxa"/>
              <w:right w:w="108" w:type="dxa"/>
            </w:tcMar>
            <w:vAlign w:val="bottom"/>
            <w:hideMark/>
          </w:tcPr>
          <w:p w14:paraId="799664D8" w14:textId="77777777" w:rsidR="00DF79EA" w:rsidRPr="00B665AB" w:rsidRDefault="00DF79EA" w:rsidP="003D289B">
            <w:pPr>
              <w:pStyle w:val="NoSpacing"/>
              <w:jc w:val="center"/>
              <w:rPr>
                <w:b/>
              </w:rPr>
            </w:pPr>
            <w:r w:rsidRPr="00B665AB">
              <w:rPr>
                <w:b/>
              </w:rPr>
              <w:t>£m</w:t>
            </w:r>
          </w:p>
        </w:tc>
        <w:tc>
          <w:tcPr>
            <w:tcW w:w="1008" w:type="dxa"/>
            <w:tcBorders>
              <w:top w:val="single" w:sz="4" w:space="0" w:color="auto"/>
              <w:left w:val="nil"/>
              <w:bottom w:val="single" w:sz="8" w:space="0" w:color="auto"/>
              <w:right w:val="single" w:sz="8" w:space="0" w:color="auto"/>
            </w:tcBorders>
            <w:shd w:val="clear" w:color="auto" w:fill="F2F2F2"/>
            <w:tcMar>
              <w:top w:w="0" w:type="dxa"/>
              <w:left w:w="108" w:type="dxa"/>
              <w:bottom w:w="0" w:type="dxa"/>
              <w:right w:w="108" w:type="dxa"/>
            </w:tcMar>
            <w:vAlign w:val="bottom"/>
            <w:hideMark/>
          </w:tcPr>
          <w:p w14:paraId="19A7B4B2" w14:textId="77777777" w:rsidR="00DF79EA" w:rsidRPr="00B665AB" w:rsidRDefault="00DF79EA" w:rsidP="003D289B">
            <w:pPr>
              <w:pStyle w:val="NoSpacing"/>
              <w:jc w:val="center"/>
              <w:rPr>
                <w:b/>
              </w:rPr>
            </w:pPr>
            <w:r w:rsidRPr="00B665AB">
              <w:rPr>
                <w:b/>
              </w:rPr>
              <w:t>£m</w:t>
            </w:r>
          </w:p>
        </w:tc>
        <w:tc>
          <w:tcPr>
            <w:tcW w:w="1123" w:type="dxa"/>
            <w:tcBorders>
              <w:top w:val="single" w:sz="4" w:space="0" w:color="auto"/>
              <w:left w:val="nil"/>
              <w:bottom w:val="single" w:sz="8" w:space="0" w:color="auto"/>
              <w:right w:val="single" w:sz="8" w:space="0" w:color="auto"/>
            </w:tcBorders>
            <w:shd w:val="clear" w:color="auto" w:fill="F2F2F2"/>
            <w:tcMar>
              <w:top w:w="0" w:type="dxa"/>
              <w:left w:w="108" w:type="dxa"/>
              <w:bottom w:w="0" w:type="dxa"/>
              <w:right w:w="108" w:type="dxa"/>
            </w:tcMar>
            <w:vAlign w:val="bottom"/>
            <w:hideMark/>
          </w:tcPr>
          <w:p w14:paraId="51CBDED0" w14:textId="77777777" w:rsidR="00DF79EA" w:rsidRPr="00B665AB" w:rsidRDefault="00DF79EA" w:rsidP="003D289B">
            <w:pPr>
              <w:pStyle w:val="NoSpacing"/>
              <w:jc w:val="center"/>
              <w:rPr>
                <w:b/>
              </w:rPr>
            </w:pPr>
            <w:r w:rsidRPr="00B665AB">
              <w:rPr>
                <w:b/>
              </w:rPr>
              <w:t>£m</w:t>
            </w:r>
          </w:p>
        </w:tc>
        <w:tc>
          <w:tcPr>
            <w:tcW w:w="896" w:type="dxa"/>
            <w:tcBorders>
              <w:top w:val="single" w:sz="4" w:space="0" w:color="auto"/>
              <w:left w:val="nil"/>
              <w:bottom w:val="single" w:sz="8" w:space="0" w:color="auto"/>
              <w:right w:val="single" w:sz="8" w:space="0" w:color="auto"/>
            </w:tcBorders>
            <w:shd w:val="clear" w:color="auto" w:fill="F2F2F2"/>
            <w:vAlign w:val="bottom"/>
          </w:tcPr>
          <w:p w14:paraId="152FBCB7" w14:textId="77777777" w:rsidR="00DF79EA" w:rsidRPr="00B665AB" w:rsidRDefault="00DF79EA" w:rsidP="003D289B">
            <w:pPr>
              <w:pStyle w:val="NoSpacing"/>
              <w:jc w:val="center"/>
              <w:rPr>
                <w:b/>
              </w:rPr>
            </w:pPr>
            <w:r w:rsidRPr="00B665AB">
              <w:rPr>
                <w:b/>
              </w:rPr>
              <w:t>£m</w:t>
            </w:r>
          </w:p>
        </w:tc>
        <w:tc>
          <w:tcPr>
            <w:tcW w:w="896" w:type="dxa"/>
            <w:tcBorders>
              <w:top w:val="single" w:sz="4" w:space="0" w:color="auto"/>
              <w:left w:val="nil"/>
              <w:bottom w:val="single" w:sz="8" w:space="0" w:color="auto"/>
              <w:right w:val="single" w:sz="8" w:space="0" w:color="auto"/>
            </w:tcBorders>
            <w:shd w:val="clear" w:color="auto" w:fill="F2F2F2"/>
            <w:vAlign w:val="bottom"/>
          </w:tcPr>
          <w:p w14:paraId="63676237" w14:textId="77777777" w:rsidR="00DF79EA" w:rsidRPr="00B665AB" w:rsidRDefault="00DF79EA" w:rsidP="003D289B">
            <w:pPr>
              <w:pStyle w:val="NoSpacing"/>
              <w:jc w:val="center"/>
              <w:rPr>
                <w:b/>
              </w:rPr>
            </w:pPr>
            <w:r w:rsidRPr="00B665AB">
              <w:rPr>
                <w:b/>
              </w:rPr>
              <w:t>%</w:t>
            </w:r>
          </w:p>
        </w:tc>
      </w:tr>
      <w:tr w:rsidR="00DF79EA" w14:paraId="1260AD81" w14:textId="77777777" w:rsidTr="00DF79EA">
        <w:trPr>
          <w:trHeight w:val="389"/>
        </w:trPr>
        <w:tc>
          <w:tcPr>
            <w:tcW w:w="6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1C56B74" w14:textId="77777777" w:rsidR="00DF79EA" w:rsidRPr="00B665AB" w:rsidRDefault="00DF79EA" w:rsidP="003D289B">
            <w:pPr>
              <w:jc w:val="right"/>
            </w:pPr>
            <w:r w:rsidRPr="00B665AB">
              <w:t>3.1</w:t>
            </w:r>
          </w:p>
        </w:tc>
        <w:tc>
          <w:tcPr>
            <w:tcW w:w="34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B80506" w14:textId="77777777" w:rsidR="00DF79EA" w:rsidRPr="00B665AB" w:rsidRDefault="00DF79EA" w:rsidP="003D289B">
            <w:pPr>
              <w:pStyle w:val="NoSpacing"/>
            </w:pPr>
            <w:r w:rsidRPr="00B665AB">
              <w:t xml:space="preserve">ADULTS SERVICES </w:t>
            </w:r>
          </w:p>
        </w:tc>
        <w:tc>
          <w:tcPr>
            <w:tcW w:w="11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7A5A6BF" w14:textId="77777777" w:rsidR="00DF79EA" w:rsidRPr="00B665AB" w:rsidRDefault="00DF79EA" w:rsidP="003D289B">
            <w:pPr>
              <w:pStyle w:val="NoSpacing"/>
              <w:jc w:val="center"/>
            </w:pPr>
            <w:r w:rsidRPr="00B665AB">
              <w:t>317.674</w:t>
            </w:r>
          </w:p>
        </w:tc>
        <w:tc>
          <w:tcPr>
            <w:tcW w:w="10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8FAD8FC" w14:textId="77777777" w:rsidR="00DF79EA" w:rsidRPr="00B665AB" w:rsidRDefault="00DF79EA" w:rsidP="003D289B">
            <w:pPr>
              <w:pStyle w:val="NoSpacing"/>
              <w:jc w:val="center"/>
              <w:rPr>
                <w:lang w:eastAsia="en-US"/>
              </w:rPr>
            </w:pPr>
            <w:r w:rsidRPr="00B665AB">
              <w:rPr>
                <w:lang w:eastAsia="en-US"/>
              </w:rPr>
              <w:t>319.528</w:t>
            </w:r>
          </w:p>
        </w:tc>
        <w:tc>
          <w:tcPr>
            <w:tcW w:w="1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A630F18" w14:textId="77777777" w:rsidR="00DF79EA" w:rsidRPr="00B665AB" w:rsidRDefault="00DF79EA" w:rsidP="003D289B">
            <w:pPr>
              <w:pStyle w:val="NoSpacing"/>
              <w:jc w:val="center"/>
            </w:pPr>
            <w:r w:rsidRPr="00B665AB">
              <w:t>1.854</w:t>
            </w:r>
          </w:p>
        </w:tc>
        <w:tc>
          <w:tcPr>
            <w:tcW w:w="896" w:type="dxa"/>
            <w:tcBorders>
              <w:top w:val="nil"/>
              <w:left w:val="nil"/>
              <w:bottom w:val="single" w:sz="8" w:space="0" w:color="auto"/>
              <w:right w:val="single" w:sz="8" w:space="0" w:color="auto"/>
            </w:tcBorders>
            <w:shd w:val="clear" w:color="auto" w:fill="FFFFFF"/>
          </w:tcPr>
          <w:p w14:paraId="0546D381" w14:textId="77777777" w:rsidR="00DF79EA" w:rsidRPr="00B665AB" w:rsidRDefault="00DF79EA" w:rsidP="003D289B">
            <w:pPr>
              <w:pStyle w:val="NoSpacing"/>
              <w:jc w:val="center"/>
            </w:pPr>
            <w:r w:rsidRPr="00B665AB">
              <w:t>3.848</w:t>
            </w:r>
          </w:p>
        </w:tc>
        <w:tc>
          <w:tcPr>
            <w:tcW w:w="896" w:type="dxa"/>
            <w:tcBorders>
              <w:top w:val="nil"/>
              <w:left w:val="nil"/>
              <w:bottom w:val="single" w:sz="8" w:space="0" w:color="auto"/>
              <w:right w:val="single" w:sz="8" w:space="0" w:color="auto"/>
            </w:tcBorders>
            <w:shd w:val="clear" w:color="auto" w:fill="FFFFFF"/>
          </w:tcPr>
          <w:p w14:paraId="092CAFCB" w14:textId="77777777" w:rsidR="00DF79EA" w:rsidRPr="00B665AB" w:rsidRDefault="00DF79EA" w:rsidP="003D289B">
            <w:pPr>
              <w:pStyle w:val="NoSpacing"/>
              <w:jc w:val="center"/>
            </w:pPr>
            <w:r w:rsidRPr="00B665AB">
              <w:t>1%</w:t>
            </w:r>
          </w:p>
        </w:tc>
      </w:tr>
      <w:tr w:rsidR="00DF79EA" w14:paraId="712F6502" w14:textId="77777777" w:rsidTr="00DF79EA">
        <w:trPr>
          <w:trHeight w:val="500"/>
        </w:trPr>
        <w:tc>
          <w:tcPr>
            <w:tcW w:w="6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1ECEE87" w14:textId="77777777" w:rsidR="00DF79EA" w:rsidRPr="00B665AB" w:rsidRDefault="00DF79EA" w:rsidP="003D289B">
            <w:pPr>
              <w:jc w:val="right"/>
            </w:pPr>
            <w:r w:rsidRPr="00B665AB">
              <w:t>3.2</w:t>
            </w:r>
          </w:p>
        </w:tc>
        <w:tc>
          <w:tcPr>
            <w:tcW w:w="34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878185" w14:textId="77777777" w:rsidR="00DF79EA" w:rsidRPr="00B665AB" w:rsidRDefault="00DF79EA" w:rsidP="003D289B">
            <w:pPr>
              <w:pStyle w:val="NoSpacing"/>
            </w:pPr>
            <w:r w:rsidRPr="00B665AB">
              <w:t xml:space="preserve">CHILDRENS SERVICES </w:t>
            </w:r>
          </w:p>
        </w:tc>
        <w:tc>
          <w:tcPr>
            <w:tcW w:w="11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E8081F0" w14:textId="77777777" w:rsidR="00DF79EA" w:rsidRPr="00B665AB" w:rsidRDefault="00DF79EA" w:rsidP="003D289B">
            <w:pPr>
              <w:pStyle w:val="NoSpacing"/>
              <w:jc w:val="center"/>
              <w:rPr>
                <w:lang w:eastAsia="en-US"/>
              </w:rPr>
            </w:pPr>
            <w:r w:rsidRPr="00B665AB">
              <w:rPr>
                <w:lang w:eastAsia="en-US"/>
              </w:rPr>
              <w:t>119.421</w:t>
            </w:r>
          </w:p>
        </w:tc>
        <w:tc>
          <w:tcPr>
            <w:tcW w:w="10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305BDFD" w14:textId="77777777" w:rsidR="00DF79EA" w:rsidRPr="00B665AB" w:rsidRDefault="00DF79EA" w:rsidP="003D289B">
            <w:pPr>
              <w:pStyle w:val="NoSpacing"/>
              <w:jc w:val="center"/>
            </w:pPr>
            <w:r w:rsidRPr="00B665AB">
              <w:t>132.729</w:t>
            </w:r>
          </w:p>
        </w:tc>
        <w:tc>
          <w:tcPr>
            <w:tcW w:w="1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E5658AB" w14:textId="77777777" w:rsidR="00DF79EA" w:rsidRPr="00B665AB" w:rsidRDefault="00DF79EA" w:rsidP="003D289B">
            <w:pPr>
              <w:pStyle w:val="NoSpacing"/>
              <w:jc w:val="center"/>
            </w:pPr>
            <w:r w:rsidRPr="00B665AB">
              <w:t>13.308</w:t>
            </w:r>
          </w:p>
        </w:tc>
        <w:tc>
          <w:tcPr>
            <w:tcW w:w="896" w:type="dxa"/>
            <w:tcBorders>
              <w:top w:val="nil"/>
              <w:left w:val="nil"/>
              <w:bottom w:val="single" w:sz="8" w:space="0" w:color="auto"/>
              <w:right w:val="single" w:sz="8" w:space="0" w:color="auto"/>
            </w:tcBorders>
            <w:shd w:val="clear" w:color="auto" w:fill="FFFFFF"/>
          </w:tcPr>
          <w:p w14:paraId="41947615" w14:textId="77777777" w:rsidR="00DF79EA" w:rsidRPr="00B665AB" w:rsidRDefault="00DF79EA" w:rsidP="003D289B">
            <w:pPr>
              <w:pStyle w:val="NoSpacing"/>
              <w:jc w:val="center"/>
            </w:pPr>
            <w:r w:rsidRPr="00B665AB">
              <w:t>10.981</w:t>
            </w:r>
          </w:p>
        </w:tc>
        <w:tc>
          <w:tcPr>
            <w:tcW w:w="896" w:type="dxa"/>
            <w:tcBorders>
              <w:top w:val="nil"/>
              <w:left w:val="nil"/>
              <w:bottom w:val="single" w:sz="8" w:space="0" w:color="auto"/>
              <w:right w:val="single" w:sz="8" w:space="0" w:color="auto"/>
            </w:tcBorders>
            <w:shd w:val="clear" w:color="auto" w:fill="FFFFFF"/>
          </w:tcPr>
          <w:p w14:paraId="7782D4EC" w14:textId="77777777" w:rsidR="00DF79EA" w:rsidRPr="00B665AB" w:rsidRDefault="00DF79EA" w:rsidP="003D289B">
            <w:pPr>
              <w:pStyle w:val="NoSpacing"/>
              <w:jc w:val="center"/>
            </w:pPr>
            <w:r w:rsidRPr="00B665AB">
              <w:t>11%</w:t>
            </w:r>
          </w:p>
        </w:tc>
      </w:tr>
      <w:tr w:rsidR="00DF79EA" w14:paraId="15DF6A3B" w14:textId="77777777" w:rsidTr="00DF79EA">
        <w:trPr>
          <w:trHeight w:val="217"/>
        </w:trPr>
        <w:tc>
          <w:tcPr>
            <w:tcW w:w="6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242E08F" w14:textId="77777777" w:rsidR="00DF79EA" w:rsidRPr="00B665AB" w:rsidRDefault="00DF79EA" w:rsidP="003D289B">
            <w:pPr>
              <w:jc w:val="right"/>
            </w:pPr>
            <w:r w:rsidRPr="00B665AB">
              <w:t>3.3</w:t>
            </w:r>
          </w:p>
        </w:tc>
        <w:tc>
          <w:tcPr>
            <w:tcW w:w="34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80D77E" w14:textId="77777777" w:rsidR="00DF79EA" w:rsidRDefault="00DF79EA" w:rsidP="003D289B">
            <w:pPr>
              <w:pStyle w:val="NoSpacing"/>
            </w:pPr>
            <w:r w:rsidRPr="00B665AB">
              <w:t>COMMUNITY SERVICES</w:t>
            </w:r>
          </w:p>
          <w:p w14:paraId="1AAD97E8" w14:textId="77777777" w:rsidR="00DF79EA" w:rsidRPr="00B665AB" w:rsidRDefault="00DF79EA" w:rsidP="003D289B">
            <w:pPr>
              <w:pStyle w:val="NoSpacing"/>
            </w:pPr>
          </w:p>
        </w:tc>
        <w:tc>
          <w:tcPr>
            <w:tcW w:w="11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0A95D7A" w14:textId="77777777" w:rsidR="00DF79EA" w:rsidRPr="00B665AB" w:rsidRDefault="00DF79EA" w:rsidP="003D289B">
            <w:pPr>
              <w:pStyle w:val="NoSpacing"/>
              <w:jc w:val="center"/>
              <w:rPr>
                <w:lang w:eastAsia="en-US"/>
              </w:rPr>
            </w:pPr>
            <w:r w:rsidRPr="00B665AB">
              <w:rPr>
                <w:lang w:eastAsia="en-US"/>
              </w:rPr>
              <w:t>134.239</w:t>
            </w:r>
          </w:p>
        </w:tc>
        <w:tc>
          <w:tcPr>
            <w:tcW w:w="10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C73BBA8" w14:textId="77777777" w:rsidR="00DF79EA" w:rsidRPr="00B665AB" w:rsidRDefault="00DF79EA" w:rsidP="003D289B">
            <w:pPr>
              <w:pStyle w:val="NoSpacing"/>
              <w:jc w:val="center"/>
            </w:pPr>
            <w:r w:rsidRPr="00B665AB">
              <w:t>137.044</w:t>
            </w:r>
          </w:p>
        </w:tc>
        <w:tc>
          <w:tcPr>
            <w:tcW w:w="1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EF2E790" w14:textId="77777777" w:rsidR="00DF79EA" w:rsidRPr="00B665AB" w:rsidRDefault="00DF79EA" w:rsidP="003D289B">
            <w:pPr>
              <w:pStyle w:val="NoSpacing"/>
              <w:jc w:val="center"/>
            </w:pPr>
            <w:r w:rsidRPr="00B665AB">
              <w:t>2.805</w:t>
            </w:r>
          </w:p>
        </w:tc>
        <w:tc>
          <w:tcPr>
            <w:tcW w:w="896" w:type="dxa"/>
            <w:tcBorders>
              <w:top w:val="nil"/>
              <w:left w:val="nil"/>
              <w:bottom w:val="single" w:sz="8" w:space="0" w:color="auto"/>
              <w:right w:val="single" w:sz="8" w:space="0" w:color="auto"/>
            </w:tcBorders>
            <w:shd w:val="clear" w:color="auto" w:fill="FFFFFF"/>
          </w:tcPr>
          <w:p w14:paraId="17AA3663" w14:textId="77777777" w:rsidR="00DF79EA" w:rsidRPr="00B665AB" w:rsidRDefault="00DF79EA" w:rsidP="003D289B">
            <w:pPr>
              <w:pStyle w:val="NoSpacing"/>
              <w:jc w:val="center"/>
            </w:pPr>
            <w:r w:rsidRPr="00B665AB">
              <w:t>4.085</w:t>
            </w:r>
          </w:p>
        </w:tc>
        <w:tc>
          <w:tcPr>
            <w:tcW w:w="896" w:type="dxa"/>
            <w:tcBorders>
              <w:top w:val="nil"/>
              <w:left w:val="nil"/>
              <w:bottom w:val="single" w:sz="8" w:space="0" w:color="auto"/>
              <w:right w:val="single" w:sz="8" w:space="0" w:color="auto"/>
            </w:tcBorders>
            <w:shd w:val="clear" w:color="auto" w:fill="FFFFFF"/>
          </w:tcPr>
          <w:p w14:paraId="77F53AD8" w14:textId="77777777" w:rsidR="00DF79EA" w:rsidRPr="00B665AB" w:rsidRDefault="00DF79EA" w:rsidP="003D289B">
            <w:pPr>
              <w:pStyle w:val="NoSpacing"/>
              <w:jc w:val="center"/>
            </w:pPr>
            <w:r w:rsidRPr="00B665AB">
              <w:t>2%</w:t>
            </w:r>
          </w:p>
        </w:tc>
      </w:tr>
      <w:tr w:rsidR="00DF79EA" w14:paraId="52483AE8" w14:textId="77777777" w:rsidTr="00DF79EA">
        <w:trPr>
          <w:trHeight w:val="274"/>
        </w:trPr>
        <w:tc>
          <w:tcPr>
            <w:tcW w:w="6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6FB135B" w14:textId="77777777" w:rsidR="00DF79EA" w:rsidRPr="00B665AB" w:rsidRDefault="00DF79EA" w:rsidP="003D289B">
            <w:pPr>
              <w:jc w:val="right"/>
            </w:pPr>
            <w:r w:rsidRPr="00B665AB">
              <w:t>3.4</w:t>
            </w:r>
          </w:p>
        </w:tc>
        <w:tc>
          <w:tcPr>
            <w:tcW w:w="34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D7E6F3" w14:textId="77777777" w:rsidR="00DF79EA" w:rsidRDefault="00DF79EA" w:rsidP="003D289B">
            <w:pPr>
              <w:pStyle w:val="NoSpacing"/>
            </w:pPr>
            <w:r w:rsidRPr="00B665AB">
              <w:t xml:space="preserve">PUBLIC HEALTH &amp; WELLBEING </w:t>
            </w:r>
          </w:p>
          <w:p w14:paraId="59224D31" w14:textId="77777777" w:rsidR="00DF79EA" w:rsidRPr="00B665AB" w:rsidRDefault="00DF79EA" w:rsidP="003D289B">
            <w:pPr>
              <w:pStyle w:val="NoSpacing"/>
            </w:pPr>
          </w:p>
        </w:tc>
        <w:tc>
          <w:tcPr>
            <w:tcW w:w="11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3F8476A" w14:textId="77777777" w:rsidR="00DF79EA" w:rsidRPr="00B665AB" w:rsidRDefault="00DF79EA" w:rsidP="003D289B">
            <w:pPr>
              <w:pStyle w:val="NoSpacing"/>
              <w:jc w:val="center"/>
              <w:rPr>
                <w:lang w:eastAsia="en-US"/>
              </w:rPr>
            </w:pPr>
            <w:r w:rsidRPr="00B665AB">
              <w:rPr>
                <w:lang w:eastAsia="en-US"/>
              </w:rPr>
              <w:t>28.860</w:t>
            </w:r>
          </w:p>
        </w:tc>
        <w:tc>
          <w:tcPr>
            <w:tcW w:w="10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6D87597" w14:textId="77777777" w:rsidR="00DF79EA" w:rsidRPr="00B665AB" w:rsidRDefault="00DF79EA" w:rsidP="003D289B">
            <w:pPr>
              <w:pStyle w:val="NoSpacing"/>
              <w:jc w:val="center"/>
            </w:pPr>
            <w:r w:rsidRPr="00B665AB">
              <w:t>28.867</w:t>
            </w:r>
          </w:p>
        </w:tc>
        <w:tc>
          <w:tcPr>
            <w:tcW w:w="1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923F1A8" w14:textId="77777777" w:rsidR="00DF79EA" w:rsidRPr="00B665AB" w:rsidRDefault="00DF79EA" w:rsidP="003D289B">
            <w:pPr>
              <w:pStyle w:val="NoSpacing"/>
              <w:jc w:val="center"/>
            </w:pPr>
            <w:r w:rsidRPr="00B665AB">
              <w:t>0.007</w:t>
            </w:r>
          </w:p>
        </w:tc>
        <w:tc>
          <w:tcPr>
            <w:tcW w:w="896" w:type="dxa"/>
            <w:tcBorders>
              <w:top w:val="nil"/>
              <w:left w:val="nil"/>
              <w:bottom w:val="single" w:sz="8" w:space="0" w:color="auto"/>
              <w:right w:val="single" w:sz="8" w:space="0" w:color="auto"/>
            </w:tcBorders>
            <w:shd w:val="clear" w:color="auto" w:fill="FFFFFF"/>
          </w:tcPr>
          <w:p w14:paraId="62FA7EAA" w14:textId="77777777" w:rsidR="00DF79EA" w:rsidRPr="00B665AB" w:rsidRDefault="00DF79EA" w:rsidP="003D289B">
            <w:pPr>
              <w:pStyle w:val="NoSpacing"/>
              <w:jc w:val="center"/>
            </w:pPr>
            <w:r w:rsidRPr="00B665AB">
              <w:t>1.907</w:t>
            </w:r>
          </w:p>
        </w:tc>
        <w:tc>
          <w:tcPr>
            <w:tcW w:w="896" w:type="dxa"/>
            <w:tcBorders>
              <w:top w:val="nil"/>
              <w:left w:val="nil"/>
              <w:bottom w:val="single" w:sz="8" w:space="0" w:color="auto"/>
              <w:right w:val="single" w:sz="8" w:space="0" w:color="auto"/>
            </w:tcBorders>
            <w:shd w:val="clear" w:color="auto" w:fill="FFFFFF"/>
          </w:tcPr>
          <w:p w14:paraId="3EDA2848" w14:textId="77777777" w:rsidR="00DF79EA" w:rsidRPr="00B665AB" w:rsidRDefault="00DF79EA" w:rsidP="003D289B">
            <w:pPr>
              <w:pStyle w:val="NoSpacing"/>
              <w:jc w:val="center"/>
            </w:pPr>
            <w:r w:rsidRPr="00B665AB">
              <w:t>0%</w:t>
            </w:r>
          </w:p>
        </w:tc>
      </w:tr>
      <w:tr w:rsidR="00DF79EA" w14:paraId="2F6B3991" w14:textId="77777777" w:rsidTr="00DF79EA">
        <w:trPr>
          <w:trHeight w:val="1001"/>
        </w:trPr>
        <w:tc>
          <w:tcPr>
            <w:tcW w:w="6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808AD93" w14:textId="77777777" w:rsidR="00DF79EA" w:rsidRPr="00B665AB" w:rsidRDefault="00DF79EA" w:rsidP="003D289B">
            <w:pPr>
              <w:jc w:val="right"/>
            </w:pPr>
            <w:r w:rsidRPr="00B665AB">
              <w:t>3.5</w:t>
            </w:r>
          </w:p>
        </w:tc>
        <w:tc>
          <w:tcPr>
            <w:tcW w:w="34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FF7AB55" w14:textId="77777777" w:rsidR="00DF79EA" w:rsidRPr="00B665AB" w:rsidRDefault="00DF79EA" w:rsidP="003D289B">
            <w:pPr>
              <w:pStyle w:val="NoSpacing"/>
            </w:pPr>
            <w:r w:rsidRPr="00B665AB">
              <w:t>DEVELOPMENT AND CORPORATE SERVICES</w:t>
            </w:r>
          </w:p>
        </w:tc>
        <w:tc>
          <w:tcPr>
            <w:tcW w:w="11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B74A7EF" w14:textId="77777777" w:rsidR="00DF79EA" w:rsidRPr="00B665AB" w:rsidRDefault="00DF79EA" w:rsidP="003D289B">
            <w:pPr>
              <w:pStyle w:val="NoSpacing"/>
              <w:jc w:val="center"/>
              <w:rPr>
                <w:lang w:eastAsia="en-US"/>
              </w:rPr>
            </w:pPr>
            <w:r w:rsidRPr="00B665AB">
              <w:rPr>
                <w:lang w:eastAsia="en-US"/>
              </w:rPr>
              <w:t>35.574</w:t>
            </w:r>
          </w:p>
        </w:tc>
        <w:tc>
          <w:tcPr>
            <w:tcW w:w="10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55B3D4F" w14:textId="77777777" w:rsidR="00DF79EA" w:rsidRPr="00B665AB" w:rsidRDefault="00DF79EA" w:rsidP="003D289B">
            <w:pPr>
              <w:pStyle w:val="NoSpacing"/>
              <w:jc w:val="center"/>
            </w:pPr>
            <w:r w:rsidRPr="00B665AB">
              <w:t>35.408</w:t>
            </w:r>
          </w:p>
        </w:tc>
        <w:tc>
          <w:tcPr>
            <w:tcW w:w="1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84BF675" w14:textId="77777777" w:rsidR="00DF79EA" w:rsidRPr="00B665AB" w:rsidRDefault="00DF79EA" w:rsidP="003D289B">
            <w:pPr>
              <w:pStyle w:val="NoSpacing"/>
              <w:jc w:val="center"/>
            </w:pPr>
            <w:r w:rsidRPr="00B665AB">
              <w:t>-0.166</w:t>
            </w:r>
          </w:p>
        </w:tc>
        <w:tc>
          <w:tcPr>
            <w:tcW w:w="896" w:type="dxa"/>
            <w:tcBorders>
              <w:top w:val="nil"/>
              <w:left w:val="nil"/>
              <w:bottom w:val="single" w:sz="8" w:space="0" w:color="auto"/>
              <w:right w:val="single" w:sz="8" w:space="0" w:color="auto"/>
            </w:tcBorders>
            <w:shd w:val="clear" w:color="auto" w:fill="FFFFFF"/>
          </w:tcPr>
          <w:p w14:paraId="153AE2E3" w14:textId="77777777" w:rsidR="00DF79EA" w:rsidRPr="00B665AB" w:rsidRDefault="00DF79EA" w:rsidP="003D289B">
            <w:pPr>
              <w:pStyle w:val="NoSpacing"/>
              <w:jc w:val="center"/>
            </w:pPr>
            <w:r w:rsidRPr="00B665AB">
              <w:t>0.199</w:t>
            </w:r>
          </w:p>
        </w:tc>
        <w:tc>
          <w:tcPr>
            <w:tcW w:w="896" w:type="dxa"/>
            <w:tcBorders>
              <w:top w:val="nil"/>
              <w:left w:val="nil"/>
              <w:bottom w:val="single" w:sz="8" w:space="0" w:color="auto"/>
              <w:right w:val="single" w:sz="8" w:space="0" w:color="auto"/>
            </w:tcBorders>
            <w:shd w:val="clear" w:color="auto" w:fill="FFFFFF"/>
          </w:tcPr>
          <w:p w14:paraId="0F1EE606" w14:textId="77777777" w:rsidR="00DF79EA" w:rsidRPr="00B665AB" w:rsidRDefault="00DF79EA" w:rsidP="003D289B">
            <w:pPr>
              <w:pStyle w:val="NoSpacing"/>
              <w:jc w:val="center"/>
            </w:pPr>
            <w:r w:rsidRPr="00B665AB">
              <w:t>2%</w:t>
            </w:r>
          </w:p>
        </w:tc>
      </w:tr>
      <w:tr w:rsidR="00DF79EA" w14:paraId="10A7D622" w14:textId="77777777" w:rsidTr="00DF79EA">
        <w:trPr>
          <w:trHeight w:val="463"/>
        </w:trPr>
        <w:tc>
          <w:tcPr>
            <w:tcW w:w="6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F8C2ACB" w14:textId="77777777" w:rsidR="00DF79EA" w:rsidRPr="00B665AB" w:rsidRDefault="00DF79EA" w:rsidP="003D289B">
            <w:pPr>
              <w:jc w:val="right"/>
            </w:pPr>
            <w:r w:rsidRPr="00B665AB">
              <w:t>3.6</w:t>
            </w:r>
          </w:p>
        </w:tc>
        <w:tc>
          <w:tcPr>
            <w:tcW w:w="34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5293A5" w14:textId="77777777" w:rsidR="00DF79EA" w:rsidRPr="00B665AB" w:rsidRDefault="00DF79EA" w:rsidP="003D289B">
            <w:pPr>
              <w:pStyle w:val="NoSpacing"/>
            </w:pPr>
            <w:r w:rsidRPr="00B665AB">
              <w:t xml:space="preserve">COMMISSIONING </w:t>
            </w:r>
          </w:p>
        </w:tc>
        <w:tc>
          <w:tcPr>
            <w:tcW w:w="11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DF72258" w14:textId="77777777" w:rsidR="00DF79EA" w:rsidRPr="00B665AB" w:rsidRDefault="00DF79EA" w:rsidP="003D289B">
            <w:pPr>
              <w:pStyle w:val="NoSpacing"/>
              <w:jc w:val="center"/>
              <w:rPr>
                <w:lang w:eastAsia="en-US"/>
              </w:rPr>
            </w:pPr>
            <w:r w:rsidRPr="00B665AB">
              <w:rPr>
                <w:lang w:eastAsia="en-US"/>
              </w:rPr>
              <w:t>46.649</w:t>
            </w:r>
          </w:p>
        </w:tc>
        <w:tc>
          <w:tcPr>
            <w:tcW w:w="10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CED581F" w14:textId="77777777" w:rsidR="00DF79EA" w:rsidRPr="00B665AB" w:rsidRDefault="00DF79EA" w:rsidP="003D289B">
            <w:pPr>
              <w:pStyle w:val="NoSpacing"/>
              <w:jc w:val="center"/>
            </w:pPr>
            <w:r w:rsidRPr="00B665AB">
              <w:t>44.556</w:t>
            </w:r>
          </w:p>
        </w:tc>
        <w:tc>
          <w:tcPr>
            <w:tcW w:w="1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85A620C" w14:textId="77777777" w:rsidR="00DF79EA" w:rsidRPr="00B665AB" w:rsidRDefault="00DF79EA" w:rsidP="003D289B">
            <w:pPr>
              <w:pStyle w:val="NoSpacing"/>
              <w:jc w:val="center"/>
            </w:pPr>
            <w:r w:rsidRPr="00B665AB">
              <w:t>-2.093</w:t>
            </w:r>
          </w:p>
        </w:tc>
        <w:tc>
          <w:tcPr>
            <w:tcW w:w="896" w:type="dxa"/>
            <w:tcBorders>
              <w:top w:val="nil"/>
              <w:left w:val="nil"/>
              <w:bottom w:val="single" w:sz="8" w:space="0" w:color="auto"/>
              <w:right w:val="single" w:sz="8" w:space="0" w:color="auto"/>
            </w:tcBorders>
            <w:shd w:val="clear" w:color="auto" w:fill="FFFFFF"/>
          </w:tcPr>
          <w:p w14:paraId="2E703676" w14:textId="77777777" w:rsidR="00DF79EA" w:rsidRPr="00B665AB" w:rsidRDefault="00DF79EA" w:rsidP="003D289B">
            <w:pPr>
              <w:pStyle w:val="NoSpacing"/>
              <w:jc w:val="center"/>
            </w:pPr>
            <w:r w:rsidRPr="00B665AB">
              <w:t>-0.835</w:t>
            </w:r>
          </w:p>
        </w:tc>
        <w:tc>
          <w:tcPr>
            <w:tcW w:w="896" w:type="dxa"/>
            <w:tcBorders>
              <w:top w:val="nil"/>
              <w:left w:val="nil"/>
              <w:bottom w:val="single" w:sz="8" w:space="0" w:color="auto"/>
              <w:right w:val="single" w:sz="8" w:space="0" w:color="auto"/>
            </w:tcBorders>
            <w:shd w:val="clear" w:color="auto" w:fill="FFFFFF"/>
          </w:tcPr>
          <w:p w14:paraId="21E60704" w14:textId="77777777" w:rsidR="00DF79EA" w:rsidRPr="00B665AB" w:rsidRDefault="00DF79EA" w:rsidP="003D289B">
            <w:pPr>
              <w:pStyle w:val="NoSpacing"/>
              <w:jc w:val="center"/>
            </w:pPr>
            <w:r w:rsidRPr="00B665AB">
              <w:t>-3%</w:t>
            </w:r>
          </w:p>
        </w:tc>
      </w:tr>
      <w:tr w:rsidR="00DF79EA" w14:paraId="20D5B5E7" w14:textId="77777777" w:rsidTr="00DF79EA">
        <w:trPr>
          <w:trHeight w:val="239"/>
        </w:trPr>
        <w:tc>
          <w:tcPr>
            <w:tcW w:w="6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1CE9A3D" w14:textId="77777777" w:rsidR="00DF79EA" w:rsidRPr="00B665AB" w:rsidRDefault="00DF79EA" w:rsidP="003D289B">
            <w:pPr>
              <w:jc w:val="right"/>
            </w:pPr>
            <w:r w:rsidRPr="00B665AB">
              <w:t>3.7</w:t>
            </w:r>
          </w:p>
        </w:tc>
        <w:tc>
          <w:tcPr>
            <w:tcW w:w="34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54AD16" w14:textId="77777777" w:rsidR="00DF79EA" w:rsidRDefault="00DF79EA" w:rsidP="003D289B">
            <w:pPr>
              <w:pStyle w:val="NoSpacing"/>
            </w:pPr>
            <w:r w:rsidRPr="00B665AB">
              <w:t>CHIEF EXECUTIVE</w:t>
            </w:r>
          </w:p>
          <w:p w14:paraId="3DFFDF5E" w14:textId="77777777" w:rsidR="00DF79EA" w:rsidRPr="00B665AB" w:rsidRDefault="00DF79EA" w:rsidP="003D289B">
            <w:pPr>
              <w:pStyle w:val="NoSpacing"/>
            </w:pPr>
          </w:p>
        </w:tc>
        <w:tc>
          <w:tcPr>
            <w:tcW w:w="11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C28DE62" w14:textId="77777777" w:rsidR="00DF79EA" w:rsidRPr="00B665AB" w:rsidRDefault="00DF79EA" w:rsidP="003D289B">
            <w:pPr>
              <w:pStyle w:val="NoSpacing"/>
              <w:jc w:val="center"/>
              <w:rPr>
                <w:lang w:eastAsia="en-US"/>
              </w:rPr>
            </w:pPr>
            <w:r w:rsidRPr="00B665AB">
              <w:rPr>
                <w:lang w:eastAsia="en-US"/>
              </w:rPr>
              <w:t>30.603</w:t>
            </w:r>
          </w:p>
        </w:tc>
        <w:tc>
          <w:tcPr>
            <w:tcW w:w="10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6E82925" w14:textId="77777777" w:rsidR="00DF79EA" w:rsidRPr="00B665AB" w:rsidRDefault="00DF79EA" w:rsidP="003D289B">
            <w:pPr>
              <w:pStyle w:val="NoSpacing"/>
              <w:jc w:val="center"/>
            </w:pPr>
            <w:r w:rsidRPr="00B665AB">
              <w:t>-0.410</w:t>
            </w:r>
          </w:p>
        </w:tc>
        <w:tc>
          <w:tcPr>
            <w:tcW w:w="1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37F5E95" w14:textId="77777777" w:rsidR="00DF79EA" w:rsidRPr="00B665AB" w:rsidRDefault="00DF79EA" w:rsidP="003D289B">
            <w:pPr>
              <w:pStyle w:val="NoSpacing"/>
              <w:jc w:val="center"/>
            </w:pPr>
            <w:r w:rsidRPr="00B665AB">
              <w:t>-31.013</w:t>
            </w:r>
          </w:p>
        </w:tc>
        <w:tc>
          <w:tcPr>
            <w:tcW w:w="896" w:type="dxa"/>
            <w:tcBorders>
              <w:top w:val="nil"/>
              <w:left w:val="nil"/>
              <w:bottom w:val="single" w:sz="8" w:space="0" w:color="auto"/>
              <w:right w:val="single" w:sz="8" w:space="0" w:color="auto"/>
            </w:tcBorders>
            <w:shd w:val="clear" w:color="auto" w:fill="FFFFFF"/>
          </w:tcPr>
          <w:p w14:paraId="785C7AC7" w14:textId="77777777" w:rsidR="00DF79EA" w:rsidRPr="00B665AB" w:rsidRDefault="00DF79EA" w:rsidP="003D289B">
            <w:pPr>
              <w:pStyle w:val="NoSpacing"/>
              <w:jc w:val="center"/>
            </w:pPr>
            <w:r w:rsidRPr="00B665AB">
              <w:t>-33.456</w:t>
            </w:r>
          </w:p>
        </w:tc>
        <w:tc>
          <w:tcPr>
            <w:tcW w:w="896" w:type="dxa"/>
            <w:tcBorders>
              <w:top w:val="nil"/>
              <w:left w:val="nil"/>
              <w:bottom w:val="single" w:sz="8" w:space="0" w:color="auto"/>
              <w:right w:val="single" w:sz="8" w:space="0" w:color="auto"/>
            </w:tcBorders>
            <w:shd w:val="clear" w:color="auto" w:fill="FFFFFF"/>
          </w:tcPr>
          <w:p w14:paraId="0EDF1FDA" w14:textId="77777777" w:rsidR="00DF79EA" w:rsidRPr="00B665AB" w:rsidRDefault="00DF79EA" w:rsidP="003D289B">
            <w:pPr>
              <w:pStyle w:val="NoSpacing"/>
              <w:jc w:val="center"/>
            </w:pPr>
            <w:r w:rsidRPr="00B665AB">
              <w:t>-97%</w:t>
            </w:r>
          </w:p>
        </w:tc>
      </w:tr>
      <w:tr w:rsidR="00DF79EA" w14:paraId="0F94EF03" w14:textId="77777777" w:rsidTr="00DF79EA">
        <w:trPr>
          <w:trHeight w:val="85"/>
        </w:trPr>
        <w:tc>
          <w:tcPr>
            <w:tcW w:w="615" w:type="dxa"/>
            <w:tcBorders>
              <w:top w:val="single" w:sz="8" w:space="0" w:color="auto"/>
              <w:left w:val="single" w:sz="8" w:space="0" w:color="auto"/>
              <w:bottom w:val="single" w:sz="8" w:space="0" w:color="auto"/>
              <w:right w:val="single" w:sz="8" w:space="0" w:color="auto"/>
            </w:tcBorders>
            <w:shd w:val="clear" w:color="auto" w:fill="8497B0"/>
            <w:tcMar>
              <w:top w:w="0" w:type="dxa"/>
              <w:left w:w="108" w:type="dxa"/>
              <w:bottom w:w="0" w:type="dxa"/>
              <w:right w:w="108" w:type="dxa"/>
            </w:tcMar>
            <w:hideMark/>
          </w:tcPr>
          <w:p w14:paraId="41B0323D" w14:textId="77777777" w:rsidR="00DF79EA" w:rsidRPr="00B665AB" w:rsidRDefault="00DF79EA" w:rsidP="003D289B">
            <w:pPr>
              <w:jc w:val="center"/>
              <w:rPr>
                <w:b/>
                <w:bCs/>
              </w:rPr>
            </w:pPr>
          </w:p>
        </w:tc>
        <w:tc>
          <w:tcPr>
            <w:tcW w:w="3471" w:type="dxa"/>
            <w:tcBorders>
              <w:top w:val="single" w:sz="8" w:space="0" w:color="auto"/>
              <w:left w:val="nil"/>
              <w:bottom w:val="single" w:sz="8" w:space="0" w:color="auto"/>
              <w:right w:val="single" w:sz="8" w:space="0" w:color="auto"/>
            </w:tcBorders>
            <w:shd w:val="clear" w:color="auto" w:fill="8497B0"/>
            <w:tcMar>
              <w:top w:w="0" w:type="dxa"/>
              <w:left w:w="108" w:type="dxa"/>
              <w:bottom w:w="0" w:type="dxa"/>
              <w:right w:w="108" w:type="dxa"/>
            </w:tcMar>
            <w:hideMark/>
          </w:tcPr>
          <w:p w14:paraId="1F842767" w14:textId="77777777" w:rsidR="00DF79EA" w:rsidRPr="00B665AB" w:rsidRDefault="00DF79EA" w:rsidP="003D289B">
            <w:pPr>
              <w:pStyle w:val="NoSpacing"/>
            </w:pPr>
            <w:r w:rsidRPr="00B665AB">
              <w:t>TOTAL</w:t>
            </w:r>
          </w:p>
        </w:tc>
        <w:tc>
          <w:tcPr>
            <w:tcW w:w="1149" w:type="dxa"/>
            <w:tcBorders>
              <w:top w:val="nil"/>
              <w:left w:val="nil"/>
              <w:bottom w:val="single" w:sz="8" w:space="0" w:color="auto"/>
              <w:right w:val="single" w:sz="8" w:space="0" w:color="auto"/>
            </w:tcBorders>
            <w:shd w:val="clear" w:color="auto" w:fill="8497B0"/>
            <w:tcMar>
              <w:top w:w="0" w:type="dxa"/>
              <w:left w:w="108" w:type="dxa"/>
              <w:bottom w:w="0" w:type="dxa"/>
              <w:right w:w="108" w:type="dxa"/>
            </w:tcMar>
          </w:tcPr>
          <w:p w14:paraId="2BE85AB5" w14:textId="77777777" w:rsidR="00DF79EA" w:rsidRPr="00B665AB" w:rsidRDefault="00DF79EA" w:rsidP="003D289B">
            <w:pPr>
              <w:pStyle w:val="NoSpacing"/>
              <w:jc w:val="center"/>
              <w:rPr>
                <w:lang w:eastAsia="en-US"/>
              </w:rPr>
            </w:pPr>
            <w:r w:rsidRPr="00B665AB">
              <w:rPr>
                <w:lang w:eastAsia="en-US"/>
              </w:rPr>
              <w:t>713.020</w:t>
            </w:r>
          </w:p>
        </w:tc>
        <w:tc>
          <w:tcPr>
            <w:tcW w:w="1008" w:type="dxa"/>
            <w:tcBorders>
              <w:top w:val="nil"/>
              <w:left w:val="nil"/>
              <w:bottom w:val="single" w:sz="8" w:space="0" w:color="auto"/>
              <w:right w:val="single" w:sz="8" w:space="0" w:color="auto"/>
            </w:tcBorders>
            <w:shd w:val="clear" w:color="auto" w:fill="8497B0"/>
            <w:tcMar>
              <w:top w:w="0" w:type="dxa"/>
              <w:left w:w="108" w:type="dxa"/>
              <w:bottom w:w="0" w:type="dxa"/>
              <w:right w:w="108" w:type="dxa"/>
            </w:tcMar>
          </w:tcPr>
          <w:p w14:paraId="0BECA5C1" w14:textId="77777777" w:rsidR="00DF79EA" w:rsidRPr="00B665AB" w:rsidRDefault="00DF79EA" w:rsidP="003D289B">
            <w:pPr>
              <w:pStyle w:val="NoSpacing"/>
              <w:jc w:val="center"/>
            </w:pPr>
            <w:r w:rsidRPr="00B665AB">
              <w:t>697.722</w:t>
            </w:r>
          </w:p>
        </w:tc>
        <w:tc>
          <w:tcPr>
            <w:tcW w:w="1123" w:type="dxa"/>
            <w:tcBorders>
              <w:top w:val="nil"/>
              <w:left w:val="nil"/>
              <w:bottom w:val="single" w:sz="8" w:space="0" w:color="auto"/>
              <w:right w:val="single" w:sz="8" w:space="0" w:color="auto"/>
            </w:tcBorders>
            <w:shd w:val="clear" w:color="auto" w:fill="8497B0"/>
            <w:tcMar>
              <w:top w:w="0" w:type="dxa"/>
              <w:left w:w="108" w:type="dxa"/>
              <w:bottom w:w="0" w:type="dxa"/>
              <w:right w:w="108" w:type="dxa"/>
            </w:tcMar>
          </w:tcPr>
          <w:p w14:paraId="109F81FB" w14:textId="77777777" w:rsidR="00DF79EA" w:rsidRPr="00B665AB" w:rsidRDefault="00DF79EA" w:rsidP="003D289B">
            <w:pPr>
              <w:pStyle w:val="NoSpacing"/>
              <w:jc w:val="center"/>
            </w:pPr>
            <w:r w:rsidRPr="00B665AB">
              <w:t>-15.298</w:t>
            </w:r>
          </w:p>
        </w:tc>
        <w:tc>
          <w:tcPr>
            <w:tcW w:w="896" w:type="dxa"/>
            <w:tcBorders>
              <w:top w:val="nil"/>
              <w:left w:val="nil"/>
              <w:bottom w:val="single" w:sz="8" w:space="0" w:color="auto"/>
              <w:right w:val="single" w:sz="8" w:space="0" w:color="auto"/>
            </w:tcBorders>
            <w:shd w:val="clear" w:color="auto" w:fill="8497B0"/>
          </w:tcPr>
          <w:p w14:paraId="524A3BBF" w14:textId="77777777" w:rsidR="00DF79EA" w:rsidRPr="00B665AB" w:rsidRDefault="00DF79EA" w:rsidP="003D289B">
            <w:pPr>
              <w:pStyle w:val="NoSpacing"/>
              <w:jc w:val="center"/>
            </w:pPr>
            <w:r w:rsidRPr="00B665AB">
              <w:t>-13.271</w:t>
            </w:r>
          </w:p>
        </w:tc>
        <w:tc>
          <w:tcPr>
            <w:tcW w:w="896" w:type="dxa"/>
            <w:tcBorders>
              <w:top w:val="nil"/>
              <w:left w:val="nil"/>
              <w:bottom w:val="single" w:sz="8" w:space="0" w:color="auto"/>
              <w:right w:val="single" w:sz="8" w:space="0" w:color="auto"/>
            </w:tcBorders>
            <w:shd w:val="clear" w:color="auto" w:fill="8497B0"/>
          </w:tcPr>
          <w:p w14:paraId="04E2E5C2" w14:textId="77777777" w:rsidR="00DF79EA" w:rsidRPr="00B665AB" w:rsidRDefault="00DF79EA" w:rsidP="003D289B">
            <w:pPr>
              <w:pStyle w:val="NoSpacing"/>
              <w:jc w:val="center"/>
            </w:pPr>
            <w:r w:rsidRPr="00B665AB">
              <w:t>-2%</w:t>
            </w:r>
          </w:p>
        </w:tc>
      </w:tr>
    </w:tbl>
    <w:p w14:paraId="5FA20E05" w14:textId="77777777" w:rsidR="00DF79EA" w:rsidRPr="00A179D0" w:rsidRDefault="00DF79EA" w:rsidP="00DF79EA">
      <w:pPr>
        <w:tabs>
          <w:tab w:val="left" w:pos="851"/>
          <w:tab w:val="left" w:pos="1418"/>
        </w:tabs>
        <w:autoSpaceDE w:val="0"/>
        <w:autoSpaceDN w:val="0"/>
        <w:adjustRightInd w:val="0"/>
        <w:jc w:val="center"/>
        <w:rPr>
          <w:rFonts w:eastAsia="Calibri" w:cs="Arial"/>
          <w:color w:val="000000"/>
          <w:sz w:val="28"/>
          <w:szCs w:val="28"/>
          <w:lang w:eastAsia="en-US"/>
        </w:rPr>
      </w:pPr>
    </w:p>
    <w:p w14:paraId="6700BE0A" w14:textId="77777777" w:rsidR="00DF79EA" w:rsidRPr="00B665AB" w:rsidRDefault="00DF79EA" w:rsidP="00DF79EA">
      <w:pPr>
        <w:autoSpaceDE w:val="0"/>
        <w:autoSpaceDN w:val="0"/>
        <w:adjustRightInd w:val="0"/>
        <w:rPr>
          <w:rFonts w:cs="Arial"/>
        </w:rPr>
      </w:pPr>
      <w:r w:rsidRPr="00B665AB">
        <w:rPr>
          <w:rFonts w:cs="Arial"/>
        </w:rPr>
        <w:t>The current forecast outturn for the</w:t>
      </w:r>
      <w:r>
        <w:rPr>
          <w:rFonts w:cs="Arial"/>
        </w:rPr>
        <w:t xml:space="preserve"> </w:t>
      </w:r>
      <w:r w:rsidRPr="00B665AB">
        <w:rPr>
          <w:rFonts w:cs="Arial"/>
        </w:rPr>
        <w:t>County Council is an under</w:t>
      </w:r>
      <w:r>
        <w:rPr>
          <w:rFonts w:cs="Arial"/>
        </w:rPr>
        <w:t xml:space="preserve"> </w:t>
      </w:r>
      <w:r w:rsidRPr="00B665AB">
        <w:rPr>
          <w:rFonts w:cs="Arial"/>
        </w:rPr>
        <w:t>spend of £15.298m and represents a variance of c. 2% against the overall County Council budget.</w:t>
      </w:r>
      <w:r>
        <w:rPr>
          <w:rFonts w:cs="Arial"/>
        </w:rPr>
        <w:t xml:space="preserve"> </w:t>
      </w:r>
      <w:r w:rsidRPr="00B665AB">
        <w:rPr>
          <w:rFonts w:cs="Arial"/>
        </w:rPr>
        <w:t xml:space="preserve"> This is subject to a number of assumptions around the anticipated profile of </w:t>
      </w:r>
      <w:r>
        <w:rPr>
          <w:rFonts w:cs="Arial"/>
        </w:rPr>
        <w:t xml:space="preserve">expenditure for the rest of the </w:t>
      </w:r>
      <w:r w:rsidRPr="00B665AB">
        <w:rPr>
          <w:rFonts w:cs="Arial"/>
        </w:rPr>
        <w:t>year which is difficult to predict in some demand led budget areas.</w:t>
      </w:r>
    </w:p>
    <w:p w14:paraId="228778E0" w14:textId="77777777" w:rsidR="00DF79EA" w:rsidRDefault="00DF79EA" w:rsidP="00DF79EA">
      <w:pPr>
        <w:tabs>
          <w:tab w:val="left" w:pos="851"/>
          <w:tab w:val="left" w:pos="1418"/>
        </w:tabs>
        <w:rPr>
          <w:rFonts w:cs="Arial"/>
          <w:i/>
          <w:color w:val="FF0000"/>
        </w:rPr>
      </w:pPr>
    </w:p>
    <w:p w14:paraId="4234EACA" w14:textId="77777777" w:rsidR="00DF79EA" w:rsidRPr="00B665AB" w:rsidRDefault="00DF79EA" w:rsidP="00DF79EA">
      <w:pPr>
        <w:autoSpaceDE w:val="0"/>
        <w:autoSpaceDN w:val="0"/>
        <w:adjustRightInd w:val="0"/>
        <w:rPr>
          <w:rFonts w:cs="Arial"/>
        </w:rPr>
      </w:pPr>
      <w:r>
        <w:rPr>
          <w:rFonts w:cs="Arial"/>
        </w:rPr>
        <w:t>* Please note that t</w:t>
      </w:r>
      <w:r w:rsidRPr="00B665AB">
        <w:rPr>
          <w:rFonts w:cs="Arial"/>
        </w:rPr>
        <w:t>his forecas</w:t>
      </w:r>
      <w:r>
        <w:rPr>
          <w:rFonts w:cs="Arial"/>
        </w:rPr>
        <w:t xml:space="preserve">t is predominantly based on the </w:t>
      </w:r>
      <w:r w:rsidRPr="00B665AB">
        <w:rPr>
          <w:rFonts w:cs="Arial"/>
        </w:rPr>
        <w:t>information up to the end of November 2016 with adju</w:t>
      </w:r>
      <w:r>
        <w:rPr>
          <w:rFonts w:cs="Arial"/>
        </w:rPr>
        <w:t xml:space="preserve">stments made to reflect further </w:t>
      </w:r>
      <w:r w:rsidRPr="00B665AB">
        <w:rPr>
          <w:rFonts w:cs="Arial"/>
        </w:rPr>
        <w:t>information available in December (this is usual practi</w:t>
      </w:r>
      <w:r>
        <w:rPr>
          <w:rFonts w:cs="Arial"/>
        </w:rPr>
        <w:t xml:space="preserve">ce for Quarter 3 reports due to </w:t>
      </w:r>
      <w:r w:rsidRPr="00B665AB">
        <w:rPr>
          <w:rFonts w:cs="Arial"/>
        </w:rPr>
        <w:t>Cabinet deadlines).</w:t>
      </w:r>
      <w:r>
        <w:rPr>
          <w:rFonts w:cs="Arial"/>
        </w:rPr>
        <w:t xml:space="preserve"> </w:t>
      </w:r>
      <w:r w:rsidRPr="00B665AB">
        <w:rPr>
          <w:rFonts w:cs="Arial"/>
        </w:rPr>
        <w:t xml:space="preserve"> The report also contains a compar</w:t>
      </w:r>
      <w:r>
        <w:rPr>
          <w:rFonts w:cs="Arial"/>
        </w:rPr>
        <w:t>ison to the previously reported financial position as at 30</w:t>
      </w:r>
      <w:r w:rsidRPr="00B665AB">
        <w:rPr>
          <w:rFonts w:cs="Arial"/>
        </w:rPr>
        <w:t xml:space="preserve"> September 2016. </w:t>
      </w:r>
    </w:p>
    <w:p w14:paraId="032010D1" w14:textId="77777777" w:rsidR="00DF79EA" w:rsidRPr="00B665AB" w:rsidRDefault="00DF79EA" w:rsidP="00DF79EA">
      <w:pPr>
        <w:autoSpaceDE w:val="0"/>
        <w:autoSpaceDN w:val="0"/>
        <w:adjustRightInd w:val="0"/>
        <w:rPr>
          <w:rFonts w:cs="Arial"/>
        </w:rPr>
      </w:pPr>
    </w:p>
    <w:p w14:paraId="684EB2A8" w14:textId="77777777" w:rsidR="00015E12" w:rsidRDefault="00015E12" w:rsidP="00350AEB">
      <w:pPr>
        <w:rPr>
          <w:rFonts w:cs="Arial"/>
          <w:b/>
        </w:rPr>
      </w:pPr>
    </w:p>
    <w:p w14:paraId="03EA370B" w14:textId="77777777" w:rsidR="00A91E3C" w:rsidRDefault="00A91E3C" w:rsidP="00015E12">
      <w:pPr>
        <w:ind w:right="-784"/>
        <w:rPr>
          <w:rFonts w:cs="Arial"/>
          <w:b/>
        </w:rPr>
      </w:pPr>
    </w:p>
    <w:p w14:paraId="508E04C0" w14:textId="77777777" w:rsidR="00EB5CB8" w:rsidRDefault="00EB5CB8" w:rsidP="00015E12">
      <w:pPr>
        <w:ind w:right="-784"/>
        <w:rPr>
          <w:rFonts w:cs="Arial"/>
          <w:b/>
        </w:rPr>
      </w:pPr>
    </w:p>
    <w:p w14:paraId="73592BB7" w14:textId="77777777" w:rsidR="00EB5CB8" w:rsidRDefault="00EB5CB8" w:rsidP="00015E12">
      <w:pPr>
        <w:ind w:right="-784"/>
        <w:rPr>
          <w:rFonts w:cs="Arial"/>
          <w:b/>
        </w:rPr>
      </w:pPr>
    </w:p>
    <w:p w14:paraId="3EEEEFE3" w14:textId="77777777" w:rsidR="00EB5CB8" w:rsidRDefault="00EB5CB8" w:rsidP="00015E12">
      <w:pPr>
        <w:ind w:right="-784"/>
        <w:rPr>
          <w:rFonts w:cs="Arial"/>
          <w:b/>
        </w:rPr>
      </w:pPr>
    </w:p>
    <w:p w14:paraId="6F759A39" w14:textId="77777777" w:rsidR="00EB5CB8" w:rsidRDefault="00EB5CB8" w:rsidP="00015E12">
      <w:pPr>
        <w:ind w:right="-784"/>
        <w:rPr>
          <w:rFonts w:cs="Arial"/>
          <w:b/>
        </w:rPr>
      </w:pPr>
    </w:p>
    <w:p w14:paraId="5F9DF2F1" w14:textId="77777777" w:rsidR="00EB5CB8" w:rsidRDefault="00EB5CB8" w:rsidP="00015E12">
      <w:pPr>
        <w:ind w:right="-784"/>
        <w:rPr>
          <w:rFonts w:cs="Arial"/>
          <w:b/>
        </w:rPr>
      </w:pPr>
    </w:p>
    <w:p w14:paraId="5AFF0A7A" w14:textId="77777777" w:rsidR="00DF79EA" w:rsidRDefault="00DF79EA" w:rsidP="00015E12">
      <w:pPr>
        <w:ind w:right="-784"/>
        <w:rPr>
          <w:rFonts w:cs="Arial"/>
          <w:b/>
        </w:rPr>
      </w:pPr>
    </w:p>
    <w:p w14:paraId="6D7283D6" w14:textId="76968050" w:rsidR="00742D15" w:rsidRDefault="00DF79EA" w:rsidP="00015E12">
      <w:pPr>
        <w:ind w:right="-784"/>
        <w:rPr>
          <w:rFonts w:cs="Arial"/>
          <w:b/>
        </w:rPr>
      </w:pPr>
      <w:r>
        <w:rPr>
          <w:rFonts w:cs="Arial"/>
          <w:b/>
        </w:rPr>
        <w:lastRenderedPageBreak/>
        <w:t>Appendix B</w:t>
      </w:r>
    </w:p>
    <w:p w14:paraId="5D38A0C7" w14:textId="77777777" w:rsidR="00742D15" w:rsidRDefault="00742D15" w:rsidP="00015E12">
      <w:pPr>
        <w:ind w:right="-784"/>
        <w:rPr>
          <w:rFonts w:cs="Arial"/>
          <w:b/>
        </w:rPr>
      </w:pPr>
    </w:p>
    <w:p w14:paraId="227587C7" w14:textId="77777777" w:rsidR="00D22690" w:rsidRPr="00C518D2" w:rsidRDefault="00D22690" w:rsidP="00D22690">
      <w:pPr>
        <w:ind w:right="-784"/>
        <w:rPr>
          <w:rFonts w:cs="Arial"/>
          <w:b/>
        </w:rPr>
      </w:pPr>
      <w:proofErr w:type="spellStart"/>
      <w:r w:rsidRPr="00C518D2">
        <w:rPr>
          <w:rFonts w:eastAsiaTheme="majorEastAsia" w:cs="Arial"/>
          <w:b/>
          <w:bCs/>
          <w:sz w:val="28"/>
          <w:szCs w:val="28"/>
          <w:lang w:val="en-US"/>
        </w:rPr>
        <w:t>Ofsted</w:t>
      </w:r>
      <w:proofErr w:type="spellEnd"/>
      <w:r w:rsidRPr="00C518D2">
        <w:rPr>
          <w:rFonts w:eastAsiaTheme="majorEastAsia" w:cs="Arial"/>
          <w:b/>
          <w:bCs/>
          <w:sz w:val="28"/>
          <w:szCs w:val="28"/>
          <w:lang w:val="en-US"/>
        </w:rPr>
        <w:t xml:space="preserve"> Post Inspection Update</w:t>
      </w:r>
    </w:p>
    <w:p w14:paraId="11E694AB" w14:textId="77777777" w:rsidR="00D22690" w:rsidRPr="00C518D2" w:rsidRDefault="00D22690" w:rsidP="00D22690">
      <w:pPr>
        <w:ind w:right="-784"/>
        <w:rPr>
          <w:rFonts w:eastAsiaTheme="majorEastAsia" w:cs="Arial"/>
          <w:b/>
          <w:bCs/>
          <w:color w:val="5B9BD5" w:themeColor="accent1"/>
          <w:sz w:val="32"/>
          <w:szCs w:val="32"/>
          <w:lang w:val="en-US"/>
        </w:rPr>
      </w:pPr>
    </w:p>
    <w:p w14:paraId="55E22083" w14:textId="77777777" w:rsidR="00D22690" w:rsidRPr="009C329C" w:rsidRDefault="00D22690" w:rsidP="00D22690">
      <w:pPr>
        <w:rPr>
          <w:b/>
        </w:rPr>
      </w:pPr>
      <w:r w:rsidRPr="006B22E1">
        <w:rPr>
          <w:rFonts w:cs="Arial"/>
          <w:b/>
        </w:rPr>
        <w:t>Background and Advice</w:t>
      </w:r>
      <w:r>
        <w:rPr>
          <w:b/>
        </w:rPr>
        <w:t xml:space="preserve"> </w:t>
      </w:r>
      <w:r>
        <w:rPr>
          <w:b/>
        </w:rPr>
        <w:br/>
      </w:r>
      <w:r w:rsidRPr="009C329C">
        <w:rPr>
          <w:rFonts w:cs="Arial"/>
        </w:rPr>
        <w:t xml:space="preserve">Ofsted carried out an unannounced inspection of Children's Services which commenced on 14 September 2015 and which lasted for four weeks. </w:t>
      </w:r>
    </w:p>
    <w:p w14:paraId="5F062ADD" w14:textId="77777777" w:rsidR="00D22690" w:rsidRPr="009C329C" w:rsidRDefault="00D22690" w:rsidP="00D22690">
      <w:pPr>
        <w:rPr>
          <w:rFonts w:cs="Arial"/>
        </w:rPr>
      </w:pPr>
      <w:r w:rsidRPr="009C329C">
        <w:rPr>
          <w:rFonts w:cs="Arial"/>
        </w:rPr>
        <w:t>The inspection focused on the experiences and progress of children in need of help and protection, children looked after and care leavers. It also included looking at the effectiveness of our services and arrangements to help these children, including adoption and fostering. Ofsted also carried out a review of the effectiveness of the Lancashire Safeguarding Children Board (LCSB) at the same time.</w:t>
      </w:r>
    </w:p>
    <w:p w14:paraId="0AA741FF" w14:textId="77777777" w:rsidR="00D22690" w:rsidRDefault="00D22690" w:rsidP="00D22690">
      <w:pPr>
        <w:rPr>
          <w:rFonts w:cs="Arial"/>
          <w:szCs w:val="24"/>
        </w:rPr>
      </w:pPr>
      <w:r w:rsidRPr="009C329C">
        <w:rPr>
          <w:rFonts w:cs="Arial"/>
        </w:rPr>
        <w:t xml:space="preserve">Ofsted published its report on Friday 27 November 2015 rating the overall effectiveness of the Children's Services as inadequate.  </w:t>
      </w:r>
      <w:r w:rsidRPr="009C329C">
        <w:rPr>
          <w:rFonts w:cs="Arial"/>
          <w:szCs w:val="24"/>
        </w:rPr>
        <w:t xml:space="preserve">The judgement for the LSCB was good. </w:t>
      </w:r>
    </w:p>
    <w:p w14:paraId="5469B336" w14:textId="77777777" w:rsidR="00D22690" w:rsidRPr="009C329C" w:rsidRDefault="00D22690" w:rsidP="00D22690">
      <w:pPr>
        <w:rPr>
          <w:rFonts w:cs="Arial"/>
        </w:rPr>
      </w:pPr>
    </w:p>
    <w:p w14:paraId="4D9B81B8" w14:textId="77777777" w:rsidR="00D22690" w:rsidRDefault="00D22690" w:rsidP="00D22690">
      <w:pPr>
        <w:rPr>
          <w:rFonts w:cs="Arial"/>
        </w:rPr>
      </w:pPr>
      <w:r w:rsidRPr="009C329C">
        <w:rPr>
          <w:rFonts w:cs="Arial"/>
          <w:b/>
        </w:rPr>
        <w:t>Actions taken since the last CCPI</w:t>
      </w:r>
      <w:r>
        <w:rPr>
          <w:rFonts w:cs="Arial"/>
        </w:rPr>
        <w:br/>
      </w:r>
      <w:r w:rsidRPr="009C329C">
        <w:rPr>
          <w:rFonts w:cs="Arial"/>
        </w:rPr>
        <w:t xml:space="preserve">A number of actions have been put in place and developed since the last report to CCPI </w:t>
      </w:r>
      <w:r w:rsidRPr="00966FC5">
        <w:rPr>
          <w:rFonts w:cs="Arial"/>
        </w:rPr>
        <w:t>on the 5</w:t>
      </w:r>
      <w:r w:rsidRPr="00966FC5">
        <w:rPr>
          <w:rFonts w:cs="Arial"/>
          <w:vertAlign w:val="superscript"/>
        </w:rPr>
        <w:t>th</w:t>
      </w:r>
      <w:r w:rsidRPr="00966FC5">
        <w:rPr>
          <w:rFonts w:cs="Arial"/>
        </w:rPr>
        <w:t xml:space="preserve"> December 2016:</w:t>
      </w:r>
    </w:p>
    <w:p w14:paraId="760CFAC7" w14:textId="77777777" w:rsidR="00D22690" w:rsidRPr="009C329C" w:rsidRDefault="00D22690" w:rsidP="00D22690">
      <w:pPr>
        <w:rPr>
          <w:rFonts w:cs="Arial"/>
        </w:rPr>
      </w:pPr>
    </w:p>
    <w:p w14:paraId="61CC3E84" w14:textId="77777777" w:rsidR="00D22690" w:rsidRDefault="00D22690" w:rsidP="00D22690">
      <w:pPr>
        <w:rPr>
          <w:rFonts w:cs="Arial"/>
        </w:rPr>
      </w:pPr>
      <w:r w:rsidRPr="009C329C">
        <w:rPr>
          <w:rFonts w:cs="Arial"/>
          <w:b/>
        </w:rPr>
        <w:t>Recruitment drive</w:t>
      </w:r>
      <w:r w:rsidRPr="009C329C">
        <w:rPr>
          <w:rFonts w:cs="Arial"/>
        </w:rPr>
        <w:t xml:space="preserve"> - increasing capacity and, in turn, reducing caseloads in social work teams is a vital part of solving the challenges identified during the Ofsted inspection. However children's social care is a challenging area to recruit to, not only in Lancashire but also across many parts of the country. To address this a recruitment campaign has been ongoing since the summer 2016 and has been successful in recruiting to various roles in children's services.  To date more than 188 permanent posts have been recruited to including social workers, team managers and independent reviewing officers.</w:t>
      </w:r>
    </w:p>
    <w:p w14:paraId="6AFD8E2A" w14:textId="77777777" w:rsidR="00D22690" w:rsidRPr="009C329C" w:rsidRDefault="00D22690" w:rsidP="00D22690">
      <w:pPr>
        <w:rPr>
          <w:rFonts w:cs="Arial"/>
        </w:rPr>
      </w:pPr>
    </w:p>
    <w:p w14:paraId="73874383" w14:textId="77777777" w:rsidR="00D22690" w:rsidRDefault="00D22690" w:rsidP="00D22690">
      <w:pPr>
        <w:rPr>
          <w:rFonts w:cs="Arial"/>
        </w:rPr>
      </w:pPr>
      <w:r w:rsidRPr="009C329C">
        <w:rPr>
          <w:rFonts w:cs="Arial"/>
        </w:rPr>
        <w:t>A particular focus at the moment is on the north of county (Fylde, Wyre and Lancaster) because there have been specific difficulties in recruiting and retaining experienced social workers in this areas. A north Lancashire Recruitment and Retention Strategy has been developed and will focus on the following five areas:</w:t>
      </w:r>
    </w:p>
    <w:p w14:paraId="1C43D46D" w14:textId="77777777" w:rsidR="00D22690" w:rsidRPr="009C329C" w:rsidRDefault="00D22690" w:rsidP="00D22690">
      <w:pPr>
        <w:rPr>
          <w:rFonts w:cs="Arial"/>
        </w:rPr>
      </w:pPr>
    </w:p>
    <w:p w14:paraId="2735F892" w14:textId="77777777" w:rsidR="00D22690" w:rsidRPr="009C329C" w:rsidRDefault="00D22690" w:rsidP="00D22690">
      <w:pPr>
        <w:numPr>
          <w:ilvl w:val="0"/>
          <w:numId w:val="17"/>
        </w:numPr>
        <w:rPr>
          <w:rFonts w:cs="Arial"/>
        </w:rPr>
      </w:pPr>
      <w:r w:rsidRPr="009C329C">
        <w:rPr>
          <w:rFonts w:cs="Arial"/>
        </w:rPr>
        <w:t>Staff flexibility and mobility – using staff flexibly across teams to ensure the best balance of skills and experience at any one time whilst maintaining stability for children and families.</w:t>
      </w:r>
    </w:p>
    <w:p w14:paraId="5C8DB5CE" w14:textId="77777777" w:rsidR="00D22690" w:rsidRPr="009C329C" w:rsidRDefault="00D22690" w:rsidP="00D22690">
      <w:pPr>
        <w:numPr>
          <w:ilvl w:val="0"/>
          <w:numId w:val="17"/>
        </w:numPr>
        <w:rPr>
          <w:rFonts w:cs="Arial"/>
        </w:rPr>
      </w:pPr>
      <w:r w:rsidRPr="009C329C">
        <w:rPr>
          <w:rFonts w:cs="Arial"/>
        </w:rPr>
        <w:t xml:space="preserve">Establish a clear offer – identify and communicate what is being offered to staff (future and existing), what can they expect working for Lancashire County Council and what does this look like in North Lancashire. </w:t>
      </w:r>
    </w:p>
    <w:p w14:paraId="43848597" w14:textId="77777777" w:rsidR="00D22690" w:rsidRPr="009C329C" w:rsidRDefault="00D22690" w:rsidP="00D22690">
      <w:pPr>
        <w:numPr>
          <w:ilvl w:val="0"/>
          <w:numId w:val="17"/>
        </w:numPr>
        <w:rPr>
          <w:rFonts w:cs="Arial"/>
        </w:rPr>
      </w:pPr>
      <w:r w:rsidRPr="009C329C">
        <w:rPr>
          <w:rFonts w:cs="Arial"/>
        </w:rPr>
        <w:t xml:space="preserve">Targeted recruitment – being very clear about the roles we are trying to fill and the expectations of these roles and the innovative, creative and collaborative approaches needed to recruit to these roles </w:t>
      </w:r>
    </w:p>
    <w:p w14:paraId="4E05BEF5" w14:textId="77777777" w:rsidR="00D22690" w:rsidRPr="009C329C" w:rsidRDefault="00D22690" w:rsidP="00D22690">
      <w:pPr>
        <w:numPr>
          <w:ilvl w:val="0"/>
          <w:numId w:val="17"/>
        </w:numPr>
        <w:rPr>
          <w:rFonts w:cs="Arial"/>
        </w:rPr>
      </w:pPr>
      <w:r w:rsidRPr="009C329C">
        <w:rPr>
          <w:rFonts w:cs="Arial"/>
        </w:rPr>
        <w:t xml:space="preserve">Retention of staff – the support that staff receive, the environment that staff work in, the opportunities for development and progression. </w:t>
      </w:r>
    </w:p>
    <w:p w14:paraId="4D7B9352" w14:textId="77777777" w:rsidR="00D22690" w:rsidRPr="009C329C" w:rsidRDefault="00D22690" w:rsidP="00D22690">
      <w:pPr>
        <w:numPr>
          <w:ilvl w:val="0"/>
          <w:numId w:val="17"/>
        </w:numPr>
        <w:rPr>
          <w:rFonts w:cs="Arial"/>
        </w:rPr>
      </w:pPr>
      <w:r w:rsidRPr="009C329C">
        <w:rPr>
          <w:rFonts w:cs="Arial"/>
        </w:rPr>
        <w:t>Grow your own – making sure we identify the potential in all our staff and put in place the necessary support to realise this potential, spotting talent early and planning the make-up of the future workforce.</w:t>
      </w:r>
    </w:p>
    <w:p w14:paraId="18CF9439" w14:textId="77777777" w:rsidR="00D22690" w:rsidRDefault="00D22690" w:rsidP="00D22690">
      <w:pPr>
        <w:rPr>
          <w:rFonts w:cs="Arial"/>
          <w:b/>
        </w:rPr>
      </w:pPr>
    </w:p>
    <w:p w14:paraId="6E76039B" w14:textId="77777777" w:rsidR="00D22690" w:rsidRPr="009C329C" w:rsidRDefault="00D22690" w:rsidP="00D22690">
      <w:pPr>
        <w:rPr>
          <w:rFonts w:cs="Arial"/>
        </w:rPr>
      </w:pPr>
      <w:r w:rsidRPr="009C329C">
        <w:rPr>
          <w:rFonts w:cs="Arial"/>
          <w:b/>
        </w:rPr>
        <w:lastRenderedPageBreak/>
        <w:t>Service developments</w:t>
      </w:r>
      <w:r w:rsidRPr="009C329C">
        <w:rPr>
          <w:rFonts w:cs="Arial"/>
        </w:rPr>
        <w:t xml:space="preserve"> – the Practice Improvement Model is an intensive piece of work that will focus on improving practice across social work teams, initially in the Fylde and Wyre area. The intention is to work alongside staff to support, challenge and innovate and to test out new ways of working that improve outcomes for children. There is a detailed action plan that provides the framework for this project and this will be delivered by April 2017 and the learning and new ways of working that have been developed and implemented will be rolled out across all social care teams in Lancashire. The four main areas of focus for the practice Improvement Model are:</w:t>
      </w:r>
    </w:p>
    <w:p w14:paraId="4075344A" w14:textId="77777777" w:rsidR="00D22690" w:rsidRPr="009C329C" w:rsidRDefault="00D22690" w:rsidP="00D22690">
      <w:pPr>
        <w:numPr>
          <w:ilvl w:val="0"/>
          <w:numId w:val="18"/>
        </w:numPr>
        <w:rPr>
          <w:rFonts w:cs="Arial"/>
        </w:rPr>
      </w:pPr>
      <w:r w:rsidRPr="009C329C">
        <w:rPr>
          <w:rFonts w:cs="Arial"/>
        </w:rPr>
        <w:t>Embedding quality practice</w:t>
      </w:r>
    </w:p>
    <w:p w14:paraId="6B63D2C5" w14:textId="77777777" w:rsidR="00D22690" w:rsidRPr="009C329C" w:rsidRDefault="00D22690" w:rsidP="00D22690">
      <w:pPr>
        <w:numPr>
          <w:ilvl w:val="0"/>
          <w:numId w:val="18"/>
        </w:numPr>
        <w:rPr>
          <w:rFonts w:cs="Arial"/>
        </w:rPr>
      </w:pPr>
      <w:r w:rsidRPr="009C329C">
        <w:rPr>
          <w:rFonts w:cs="Arial"/>
        </w:rPr>
        <w:t>Management and staffing</w:t>
      </w:r>
    </w:p>
    <w:p w14:paraId="6F99D23D" w14:textId="77777777" w:rsidR="00D22690" w:rsidRPr="009C329C" w:rsidRDefault="00D22690" w:rsidP="00D22690">
      <w:pPr>
        <w:numPr>
          <w:ilvl w:val="0"/>
          <w:numId w:val="18"/>
        </w:numPr>
        <w:rPr>
          <w:rFonts w:cs="Arial"/>
        </w:rPr>
      </w:pPr>
      <w:r w:rsidRPr="009C329C">
        <w:rPr>
          <w:rFonts w:cs="Arial"/>
        </w:rPr>
        <w:t>Strengthening locality working</w:t>
      </w:r>
    </w:p>
    <w:p w14:paraId="7B2365F8" w14:textId="77777777" w:rsidR="00D22690" w:rsidRPr="009C329C" w:rsidRDefault="00D22690" w:rsidP="00D22690">
      <w:pPr>
        <w:numPr>
          <w:ilvl w:val="0"/>
          <w:numId w:val="18"/>
        </w:numPr>
        <w:rPr>
          <w:rFonts w:cs="Arial"/>
        </w:rPr>
      </w:pPr>
      <w:r w:rsidRPr="009C329C">
        <w:rPr>
          <w:rFonts w:cs="Arial"/>
        </w:rPr>
        <w:t>Working in partnership</w:t>
      </w:r>
    </w:p>
    <w:p w14:paraId="180BC605" w14:textId="77777777" w:rsidR="00D22690" w:rsidRDefault="00D22690" w:rsidP="00D22690">
      <w:pPr>
        <w:rPr>
          <w:rFonts w:cs="Arial"/>
        </w:rPr>
      </w:pPr>
      <w:r>
        <w:rPr>
          <w:rFonts w:cs="Arial"/>
          <w:b/>
        </w:rPr>
        <w:br/>
      </w:r>
      <w:r w:rsidRPr="009C329C">
        <w:rPr>
          <w:rFonts w:cs="Arial"/>
          <w:b/>
        </w:rPr>
        <w:t>Risk sensible</w:t>
      </w:r>
      <w:r w:rsidRPr="009C329C">
        <w:rPr>
          <w:rFonts w:cs="Arial"/>
        </w:rPr>
        <w:t xml:space="preserve"> – the risk sensible model continues to be implemented and over 250 staff have now been trained. Plans are now also in place to train staff in the Wellbeing, Prevention and Early Help service and partner organisations are also interested in understanding and practicing in line with the risk sensible approach and funding has been agreed by the LSCB to facilitate this.</w:t>
      </w:r>
    </w:p>
    <w:p w14:paraId="7139141D" w14:textId="77777777" w:rsidR="00D22690" w:rsidRPr="009C329C" w:rsidRDefault="00D22690" w:rsidP="00D22690">
      <w:pPr>
        <w:rPr>
          <w:rFonts w:cs="Arial"/>
        </w:rPr>
      </w:pPr>
    </w:p>
    <w:p w14:paraId="16B86916" w14:textId="77777777" w:rsidR="00D22690" w:rsidRDefault="00D22690" w:rsidP="00D22690">
      <w:pPr>
        <w:rPr>
          <w:rFonts w:cs="Arial"/>
        </w:rPr>
      </w:pPr>
      <w:r w:rsidRPr="009C329C">
        <w:rPr>
          <w:rFonts w:cs="Arial"/>
          <w:b/>
        </w:rPr>
        <w:t>Framework agreement</w:t>
      </w:r>
      <w:r w:rsidRPr="009C329C">
        <w:rPr>
          <w:rFonts w:cs="Arial"/>
        </w:rPr>
        <w:t xml:space="preserve"> – </w:t>
      </w:r>
      <w:proofErr w:type="spellStart"/>
      <w:r w:rsidRPr="009C329C">
        <w:rPr>
          <w:rFonts w:cs="Arial"/>
        </w:rPr>
        <w:t>Skylakes</w:t>
      </w:r>
      <w:proofErr w:type="spellEnd"/>
      <w:r w:rsidRPr="009C329C">
        <w:rPr>
          <w:rFonts w:cs="Arial"/>
        </w:rPr>
        <w:t xml:space="preserve"> are no longer taking on new work and assessments on behalf of children's social care and will have handed back all existing work by </w:t>
      </w:r>
      <w:proofErr w:type="spellStart"/>
      <w:r w:rsidRPr="009C329C">
        <w:rPr>
          <w:rFonts w:cs="Arial"/>
        </w:rPr>
        <w:t>mid February</w:t>
      </w:r>
      <w:proofErr w:type="spellEnd"/>
      <w:r w:rsidRPr="009C329C">
        <w:rPr>
          <w:rFonts w:cs="Arial"/>
        </w:rPr>
        <w:t xml:space="preserve">. Robust plans are place to ensure that the increased work coming into social care as </w:t>
      </w:r>
      <w:proofErr w:type="spellStart"/>
      <w:r w:rsidRPr="009C329C">
        <w:rPr>
          <w:rFonts w:cs="Arial"/>
        </w:rPr>
        <w:t>Skylakes</w:t>
      </w:r>
      <w:proofErr w:type="spellEnd"/>
      <w:r w:rsidRPr="009C329C">
        <w:rPr>
          <w:rFonts w:cs="Arial"/>
        </w:rPr>
        <w:t xml:space="preserve"> step back is effectively managed.  </w:t>
      </w:r>
    </w:p>
    <w:p w14:paraId="35C5976B" w14:textId="77777777" w:rsidR="00D22690" w:rsidRPr="009C329C" w:rsidRDefault="00D22690" w:rsidP="00D22690">
      <w:pPr>
        <w:rPr>
          <w:rFonts w:cs="Arial"/>
        </w:rPr>
      </w:pPr>
    </w:p>
    <w:p w14:paraId="6043549D" w14:textId="77777777" w:rsidR="00D22690" w:rsidRDefault="00D22690" w:rsidP="00D22690">
      <w:pPr>
        <w:rPr>
          <w:rFonts w:cs="Arial"/>
        </w:rPr>
      </w:pPr>
      <w:r w:rsidRPr="009C329C">
        <w:rPr>
          <w:rFonts w:cs="Arial"/>
          <w:b/>
        </w:rPr>
        <w:t xml:space="preserve">Director of children's services role </w:t>
      </w:r>
      <w:r w:rsidRPr="009C329C">
        <w:rPr>
          <w:rFonts w:cs="Arial"/>
        </w:rPr>
        <w:t xml:space="preserve">– Amanda Hatton has been appointed as the permanent Director of Children's Services </w:t>
      </w:r>
      <w:r>
        <w:rPr>
          <w:rFonts w:cs="Arial"/>
        </w:rPr>
        <w:t>took</w:t>
      </w:r>
      <w:r w:rsidRPr="009C329C">
        <w:rPr>
          <w:rFonts w:cs="Arial"/>
        </w:rPr>
        <w:t xml:space="preserve"> up her role on the 15 February 2017. To ensure a seamless transition of leadership Linda Clegg will continue to work alongside Amanda until the end of March and beyond this will be working in Lancashire for a day a week to support the ongoing improvement journey.</w:t>
      </w:r>
    </w:p>
    <w:p w14:paraId="57C7A608" w14:textId="77777777" w:rsidR="00D22690" w:rsidRDefault="00D22690" w:rsidP="00D22690">
      <w:pPr>
        <w:rPr>
          <w:rFonts w:cs="Arial"/>
        </w:rPr>
      </w:pPr>
    </w:p>
    <w:p w14:paraId="26FD5464" w14:textId="12120146" w:rsidR="00D22690" w:rsidRDefault="00D22690" w:rsidP="00D22690">
      <w:pPr>
        <w:rPr>
          <w:rFonts w:cs="Arial"/>
        </w:rPr>
      </w:pPr>
      <w:r w:rsidRPr="009C329C">
        <w:rPr>
          <w:rFonts w:cs="Arial"/>
          <w:b/>
        </w:rPr>
        <w:t>Ofsted quarterly monitoring inspection</w:t>
      </w:r>
      <w:r w:rsidRPr="009C329C">
        <w:rPr>
          <w:rFonts w:cs="Arial"/>
        </w:rPr>
        <w:t xml:space="preserve"> - during their most recent visit in January, inspectors spent two days in the county assessing the progress the council, with its partners, is making in relation to children in need cases and those subject to child protection plans.</w:t>
      </w:r>
    </w:p>
    <w:p w14:paraId="21396550" w14:textId="77777777" w:rsidR="00D22690" w:rsidRPr="009C329C" w:rsidRDefault="00D22690" w:rsidP="00D22690">
      <w:pPr>
        <w:rPr>
          <w:rFonts w:cs="Arial"/>
          <w:b/>
        </w:rPr>
      </w:pPr>
    </w:p>
    <w:p w14:paraId="5F9B4F27" w14:textId="77777777" w:rsidR="00D22690" w:rsidRPr="009C329C" w:rsidRDefault="00D22690" w:rsidP="00D22690">
      <w:pPr>
        <w:rPr>
          <w:rFonts w:cs="Arial"/>
        </w:rPr>
      </w:pPr>
      <w:r w:rsidRPr="009C329C">
        <w:rPr>
          <w:rFonts w:cs="Arial"/>
        </w:rPr>
        <w:t>In a letter published on the Ofsted website, inspectors recognise that the local authority continues to build on the improvements seen at the last visit and they also saw positive outcomes for some children due to the local authority’s intervention.</w:t>
      </w:r>
    </w:p>
    <w:p w14:paraId="6438684D" w14:textId="77777777" w:rsidR="00D22690" w:rsidRDefault="00D22690" w:rsidP="00D22690">
      <w:pPr>
        <w:rPr>
          <w:rFonts w:cs="Arial"/>
        </w:rPr>
      </w:pPr>
      <w:r w:rsidRPr="003E3EF5">
        <w:rPr>
          <w:rFonts w:cs="Arial"/>
        </w:rPr>
        <w:t>The full letter which details the findings from the monitoring inspection was published on the 10</w:t>
      </w:r>
      <w:r w:rsidRPr="003E3EF5">
        <w:rPr>
          <w:rFonts w:cs="Arial"/>
          <w:vertAlign w:val="superscript"/>
        </w:rPr>
        <w:t>th</w:t>
      </w:r>
      <w:r w:rsidRPr="003E3EF5">
        <w:rPr>
          <w:rFonts w:cs="Arial"/>
        </w:rPr>
        <w:t xml:space="preserve"> February and can be found </w:t>
      </w:r>
      <w:hyperlink r:id="rId9" w:history="1">
        <w:r w:rsidRPr="003E3EF5">
          <w:rPr>
            <w:rStyle w:val="Hyperlink"/>
            <w:rFonts w:cs="Arial"/>
          </w:rPr>
          <w:t>here</w:t>
        </w:r>
      </w:hyperlink>
      <w:r>
        <w:rPr>
          <w:rFonts w:cs="Arial"/>
        </w:rPr>
        <w:t>.</w:t>
      </w:r>
    </w:p>
    <w:p w14:paraId="31F070D3" w14:textId="77777777" w:rsidR="00D22690" w:rsidRDefault="00D22690" w:rsidP="00D22690">
      <w:pPr>
        <w:rPr>
          <w:rFonts w:eastAsiaTheme="minorHAnsi" w:cs="Arial"/>
        </w:rPr>
      </w:pPr>
    </w:p>
    <w:p w14:paraId="630649B5" w14:textId="77777777" w:rsidR="00D22690" w:rsidRPr="003E3EF5" w:rsidRDefault="00D22690" w:rsidP="00D22690">
      <w:pPr>
        <w:rPr>
          <w:rFonts w:eastAsiaTheme="minorHAnsi" w:cs="Arial"/>
        </w:rPr>
      </w:pPr>
      <w:r w:rsidRPr="009C329C">
        <w:rPr>
          <w:rFonts w:cs="Arial"/>
          <w:b/>
        </w:rPr>
        <w:t>DCS briefings</w:t>
      </w:r>
      <w:r w:rsidRPr="009C329C">
        <w:rPr>
          <w:rFonts w:cs="Arial"/>
        </w:rPr>
        <w:t xml:space="preserve"> – over 400 staff across children's services participated in the second round of staff briefings led by Linda Clegg. The purpose of these staff briefings is to ensure the workforce is fully aware and able to inform improvement and so that Linda can share and discuss the key priorities moving forwards. The evaluation feedback from these briefings has been extremely positive and 95% reported a better understanding about the progress in delivering the improvement plan and 96% had a better understanding of our current and future priorities.</w:t>
      </w:r>
    </w:p>
    <w:p w14:paraId="034688A3" w14:textId="77777777" w:rsidR="00D22690" w:rsidRDefault="00D22690" w:rsidP="00D22690">
      <w:pPr>
        <w:rPr>
          <w:rFonts w:cs="Arial"/>
        </w:rPr>
      </w:pPr>
      <w:r w:rsidRPr="009C329C">
        <w:rPr>
          <w:rFonts w:cs="Arial"/>
          <w:b/>
        </w:rPr>
        <w:lastRenderedPageBreak/>
        <w:t>12 week improvement plan</w:t>
      </w:r>
      <w:r w:rsidRPr="009C329C">
        <w:rPr>
          <w:rFonts w:cs="Arial"/>
        </w:rPr>
        <w:t xml:space="preserve"> – the new 12 week improvement plan was agreed by the Improvement Board on 8 February 2017 and covers the period from February to April 2017.  This approach enables a clear focus on some very short term priorities that support the overall delivery of the Improvement Plan.  This 12 week plan will focus on the following areas and will strengthen the links between the Improvement Board, the Lancashire Safeguarding Children Board and the Children and Young People's Trust Board:</w:t>
      </w:r>
    </w:p>
    <w:p w14:paraId="5BA665EB" w14:textId="77777777" w:rsidR="00D22690" w:rsidRPr="009C329C" w:rsidRDefault="00D22690" w:rsidP="00D22690">
      <w:pPr>
        <w:rPr>
          <w:rFonts w:cs="Arial"/>
        </w:rPr>
      </w:pPr>
    </w:p>
    <w:p w14:paraId="43F48D90" w14:textId="77777777" w:rsidR="00D22690" w:rsidRPr="009C329C" w:rsidRDefault="00D22690" w:rsidP="00D22690">
      <w:pPr>
        <w:numPr>
          <w:ilvl w:val="0"/>
          <w:numId w:val="19"/>
        </w:numPr>
        <w:rPr>
          <w:rFonts w:cs="Arial"/>
        </w:rPr>
      </w:pPr>
      <w:r w:rsidRPr="009C329C">
        <w:rPr>
          <w:rFonts w:cs="Arial"/>
        </w:rPr>
        <w:t>Child in Need</w:t>
      </w:r>
    </w:p>
    <w:p w14:paraId="17E79792" w14:textId="77777777" w:rsidR="00D22690" w:rsidRPr="009C329C" w:rsidRDefault="00D22690" w:rsidP="00D22690">
      <w:pPr>
        <w:numPr>
          <w:ilvl w:val="0"/>
          <w:numId w:val="19"/>
        </w:numPr>
        <w:rPr>
          <w:rFonts w:cs="Arial"/>
        </w:rPr>
      </w:pPr>
      <w:r w:rsidRPr="009C329C">
        <w:rPr>
          <w:rFonts w:cs="Arial"/>
        </w:rPr>
        <w:t>MASH/CART redesign</w:t>
      </w:r>
    </w:p>
    <w:p w14:paraId="2AAE86BF" w14:textId="77777777" w:rsidR="00D22690" w:rsidRPr="009C329C" w:rsidRDefault="00D22690" w:rsidP="00D22690">
      <w:pPr>
        <w:numPr>
          <w:ilvl w:val="0"/>
          <w:numId w:val="19"/>
        </w:numPr>
        <w:rPr>
          <w:rFonts w:cs="Arial"/>
        </w:rPr>
      </w:pPr>
      <w:r w:rsidRPr="009C329C">
        <w:rPr>
          <w:rFonts w:cs="Arial"/>
        </w:rPr>
        <w:t>Practice Improvement Model</w:t>
      </w:r>
    </w:p>
    <w:p w14:paraId="0474048A" w14:textId="77777777" w:rsidR="00D22690" w:rsidRPr="009C329C" w:rsidRDefault="00D22690" w:rsidP="00D22690">
      <w:pPr>
        <w:numPr>
          <w:ilvl w:val="0"/>
          <w:numId w:val="19"/>
        </w:numPr>
        <w:rPr>
          <w:rFonts w:cs="Arial"/>
        </w:rPr>
      </w:pPr>
      <w:r w:rsidRPr="009C329C">
        <w:rPr>
          <w:rFonts w:cs="Arial"/>
        </w:rPr>
        <w:t>Workforce</w:t>
      </w:r>
    </w:p>
    <w:p w14:paraId="71DEC99E" w14:textId="77777777" w:rsidR="00D22690" w:rsidRPr="009C329C" w:rsidRDefault="00D22690" w:rsidP="00D22690">
      <w:pPr>
        <w:numPr>
          <w:ilvl w:val="0"/>
          <w:numId w:val="19"/>
        </w:numPr>
        <w:rPr>
          <w:rFonts w:cs="Arial"/>
        </w:rPr>
      </w:pPr>
      <w:r w:rsidRPr="009C329C">
        <w:rPr>
          <w:rFonts w:cs="Arial"/>
        </w:rPr>
        <w:t>Ofsted monitoring inspection response</w:t>
      </w:r>
    </w:p>
    <w:p w14:paraId="0AE9A80A" w14:textId="77777777" w:rsidR="00D22690" w:rsidRPr="009C329C" w:rsidRDefault="00D22690" w:rsidP="00D22690">
      <w:pPr>
        <w:numPr>
          <w:ilvl w:val="0"/>
          <w:numId w:val="19"/>
        </w:numPr>
        <w:rPr>
          <w:rFonts w:cs="Arial"/>
        </w:rPr>
      </w:pPr>
      <w:r w:rsidRPr="009C329C">
        <w:rPr>
          <w:rFonts w:cs="Arial"/>
        </w:rPr>
        <w:t>Multi agency early help</w:t>
      </w:r>
    </w:p>
    <w:p w14:paraId="40E04201" w14:textId="77777777" w:rsidR="00D22690" w:rsidRDefault="00D22690" w:rsidP="00D22690">
      <w:pPr>
        <w:rPr>
          <w:rFonts w:cs="Arial"/>
          <w:b/>
          <w:szCs w:val="24"/>
          <w:highlight w:val="yellow"/>
        </w:rPr>
      </w:pPr>
    </w:p>
    <w:p w14:paraId="7650E6F1" w14:textId="77777777" w:rsidR="00D22690" w:rsidRDefault="00D22690" w:rsidP="00D22690">
      <w:pPr>
        <w:rPr>
          <w:rFonts w:cs="Arial"/>
        </w:rPr>
      </w:pPr>
      <w:r w:rsidRPr="00DF5173">
        <w:rPr>
          <w:rFonts w:cs="Arial"/>
          <w:b/>
          <w:szCs w:val="24"/>
        </w:rPr>
        <w:t>Project Accuracy –</w:t>
      </w:r>
      <w:r w:rsidRPr="009C329C">
        <w:rPr>
          <w:rFonts w:cs="Arial"/>
          <w:b/>
          <w:szCs w:val="24"/>
        </w:rPr>
        <w:t xml:space="preserve"> </w:t>
      </w:r>
      <w:r w:rsidRPr="009C329C">
        <w:rPr>
          <w:rFonts w:cs="Arial"/>
        </w:rPr>
        <w:t>After two waves of project activity since April 2016, significant improvement to the accuracy of information in the LCS system has been achieved.  In January, all of the metrics under review were measured by Practice Managers at 90% accurate or above.</w:t>
      </w:r>
    </w:p>
    <w:p w14:paraId="19A0DCBD" w14:textId="77777777" w:rsidR="00D22690" w:rsidRPr="009C329C" w:rsidRDefault="00D22690" w:rsidP="00D22690">
      <w:pPr>
        <w:rPr>
          <w:rFonts w:cs="Arial"/>
          <w:b/>
          <w:szCs w:val="24"/>
        </w:rPr>
      </w:pPr>
    </w:p>
    <w:p w14:paraId="18B8AFCD" w14:textId="77777777" w:rsidR="00D22690" w:rsidRDefault="00D22690" w:rsidP="00D22690">
      <w:pPr>
        <w:rPr>
          <w:rFonts w:cs="Arial"/>
        </w:rPr>
      </w:pPr>
      <w:r w:rsidRPr="009C329C">
        <w:rPr>
          <w:rFonts w:cs="Arial"/>
        </w:rPr>
        <w:t>There has been an effective project handover from Newton Europe to the County's Programme Office and the process of handing over to Children's Services is well underway. A fortnightly 'Accuracy Working Group' is established to oversee the maintenance of data quality and reporting for children's social care.  The Performance Management Framework was presented to Children's Social Care Practice Managers in November and is now fully implemented.  Weekly and monthly reports are made available regularly and are being used to manage performance in teams which is a significant change to previous reliance on local record keeping to maintain an overview of service operations.</w:t>
      </w:r>
    </w:p>
    <w:p w14:paraId="4B40F582" w14:textId="77777777" w:rsidR="00D22690" w:rsidRPr="009C329C" w:rsidRDefault="00D22690" w:rsidP="00D22690">
      <w:pPr>
        <w:rPr>
          <w:rFonts w:cs="Arial"/>
        </w:rPr>
      </w:pPr>
    </w:p>
    <w:p w14:paraId="003D15E1" w14:textId="77777777" w:rsidR="00D22690" w:rsidRPr="009C329C" w:rsidRDefault="00D22690" w:rsidP="00D22690">
      <w:pPr>
        <w:rPr>
          <w:rFonts w:cs="Arial"/>
        </w:rPr>
      </w:pPr>
      <w:r w:rsidRPr="009C329C">
        <w:rPr>
          <w:rFonts w:cs="Arial"/>
        </w:rPr>
        <w:t>The next phase of Project Accuracy covers youth offending teams, SEND, residential, fostering and adoption.   It includes reviewing the accuracy of information across the range of services, and requires the development of new reports or quality reviewing existing reports.  This phase is being managed by the new processes within the business with new capacity being brought in through the appointment of a new Practice Improvement Officer from the end of February.</w:t>
      </w:r>
    </w:p>
    <w:p w14:paraId="427D1A60" w14:textId="77777777" w:rsidR="00D22690" w:rsidRPr="009C329C" w:rsidRDefault="00D22690" w:rsidP="00D22690">
      <w:pPr>
        <w:rPr>
          <w:rFonts w:cs="Arial"/>
        </w:rPr>
      </w:pPr>
    </w:p>
    <w:p w14:paraId="6EC54F06" w14:textId="77777777" w:rsidR="00D22690" w:rsidRDefault="00D22690" w:rsidP="00015E12">
      <w:pPr>
        <w:ind w:right="-784"/>
        <w:rPr>
          <w:rFonts w:cs="Arial"/>
          <w:b/>
        </w:rPr>
      </w:pPr>
    </w:p>
    <w:sectPr w:rsidR="00D22690" w:rsidSect="00043385">
      <w:headerReference w:type="default" r:id="rId10"/>
      <w:footerReference w:type="default" r:id="rId11"/>
      <w:footerReference w:type="first" r:id="rId12"/>
      <w:type w:val="continuous"/>
      <w:pgSz w:w="11907" w:h="16840" w:code="9"/>
      <w:pgMar w:top="1440" w:right="1440" w:bottom="1440" w:left="1440" w:header="720" w:footer="306"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77D90" w14:textId="77777777" w:rsidR="007C35F8" w:rsidRDefault="007C35F8">
      <w:r>
        <w:separator/>
      </w:r>
    </w:p>
  </w:endnote>
  <w:endnote w:type="continuationSeparator" w:id="0">
    <w:p w14:paraId="0A30EE49" w14:textId="77777777" w:rsidR="007C35F8" w:rsidRDefault="007C3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wiss 72 1 BT">
    <w:altName w:val="Swiss 72 1 BT"/>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TT24DF5Eo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211D9F" w14:paraId="0A67EFC9" w14:textId="77777777">
      <w:tc>
        <w:tcPr>
          <w:tcW w:w="9243" w:type="dxa"/>
          <w:tcBorders>
            <w:top w:val="nil"/>
            <w:left w:val="nil"/>
            <w:bottom w:val="nil"/>
            <w:right w:val="nil"/>
          </w:tcBorders>
        </w:tcPr>
        <w:p w14:paraId="17B4B3F1" w14:textId="77777777" w:rsidR="00211D9F" w:rsidRDefault="00211D9F">
          <w:pPr>
            <w:pStyle w:val="Footer"/>
            <w:tabs>
              <w:tab w:val="clear" w:pos="4153"/>
            </w:tabs>
            <w:ind w:right="-45"/>
            <w:jc w:val="right"/>
          </w:pPr>
        </w:p>
      </w:tc>
    </w:tr>
  </w:tbl>
  <w:p w14:paraId="5066A439" w14:textId="77777777" w:rsidR="00211D9F" w:rsidRDefault="00211D9F">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211D9F" w14:paraId="3D155BA2" w14:textId="77777777">
      <w:tc>
        <w:tcPr>
          <w:tcW w:w="9243" w:type="dxa"/>
          <w:tcBorders>
            <w:top w:val="nil"/>
            <w:left w:val="nil"/>
            <w:bottom w:val="nil"/>
            <w:right w:val="nil"/>
          </w:tcBorders>
        </w:tcPr>
        <w:p w14:paraId="60AF3872" w14:textId="77777777" w:rsidR="00211D9F" w:rsidRDefault="002E0332">
          <w:pPr>
            <w:pStyle w:val="Footer"/>
            <w:tabs>
              <w:tab w:val="clear" w:pos="4153"/>
            </w:tabs>
            <w:ind w:right="-45"/>
            <w:jc w:val="right"/>
          </w:pPr>
          <w:r w:rsidRPr="00AD2F25">
            <w:rPr>
              <w:noProof/>
            </w:rPr>
            <w:drawing>
              <wp:inline distT="0" distB="0" distL="0" distR="0" wp14:anchorId="39E65601" wp14:editId="547E289F">
                <wp:extent cx="1257300" cy="622300"/>
                <wp:effectExtent l="0" t="0" r="0" b="635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2300"/>
                        </a:xfrm>
                        <a:prstGeom prst="rect">
                          <a:avLst/>
                        </a:prstGeom>
                        <a:noFill/>
                        <a:ln>
                          <a:noFill/>
                        </a:ln>
                      </pic:spPr>
                    </pic:pic>
                  </a:graphicData>
                </a:graphic>
              </wp:inline>
            </w:drawing>
          </w:r>
        </w:p>
      </w:tc>
    </w:tr>
  </w:tbl>
  <w:p w14:paraId="7769371B" w14:textId="77777777" w:rsidR="00211D9F" w:rsidRDefault="00211D9F">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F9F10" w14:textId="77777777" w:rsidR="007C35F8" w:rsidRDefault="007C35F8">
      <w:r>
        <w:separator/>
      </w:r>
    </w:p>
  </w:footnote>
  <w:footnote w:type="continuationSeparator" w:id="0">
    <w:p w14:paraId="0EA95310" w14:textId="77777777" w:rsidR="007C35F8" w:rsidRDefault="007C3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20890" w14:textId="0CBAB0A7" w:rsidR="00211D9F" w:rsidRDefault="00211D9F">
    <w:pPr>
      <w:pStyle w:val="Header"/>
      <w:jc w:val="center"/>
    </w:pPr>
    <w:r>
      <w:rPr>
        <w:rStyle w:val="PageNumber"/>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2795E"/>
    <w:multiLevelType w:val="hybridMultilevel"/>
    <w:tmpl w:val="22C0A850"/>
    <w:lvl w:ilvl="0" w:tplc="73B4402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94805"/>
    <w:multiLevelType w:val="hybridMultilevel"/>
    <w:tmpl w:val="BC324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D26E8"/>
    <w:multiLevelType w:val="hybridMultilevel"/>
    <w:tmpl w:val="8604D974"/>
    <w:lvl w:ilvl="0" w:tplc="346C9E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2677C"/>
    <w:multiLevelType w:val="hybridMultilevel"/>
    <w:tmpl w:val="2CC03B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6D7E98"/>
    <w:multiLevelType w:val="hybridMultilevel"/>
    <w:tmpl w:val="54F83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1F2DFD"/>
    <w:multiLevelType w:val="hybridMultilevel"/>
    <w:tmpl w:val="CB868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6B3883"/>
    <w:multiLevelType w:val="hybridMultilevel"/>
    <w:tmpl w:val="8DE034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D44BC2"/>
    <w:multiLevelType w:val="hybridMultilevel"/>
    <w:tmpl w:val="424483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D30D18"/>
    <w:multiLevelType w:val="hybridMultilevel"/>
    <w:tmpl w:val="1F4E37C6"/>
    <w:lvl w:ilvl="0" w:tplc="346C9E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804966"/>
    <w:multiLevelType w:val="hybridMultilevel"/>
    <w:tmpl w:val="3E349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3C46DD"/>
    <w:multiLevelType w:val="hybridMultilevel"/>
    <w:tmpl w:val="BE02FE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3320D8"/>
    <w:multiLevelType w:val="hybridMultilevel"/>
    <w:tmpl w:val="472AA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D519B1"/>
    <w:multiLevelType w:val="hybridMultilevel"/>
    <w:tmpl w:val="B3CE7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C04C4F"/>
    <w:multiLevelType w:val="hybridMultilevel"/>
    <w:tmpl w:val="56B036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FA6E64"/>
    <w:multiLevelType w:val="hybridMultilevel"/>
    <w:tmpl w:val="4A865B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CD4C78"/>
    <w:multiLevelType w:val="hybridMultilevel"/>
    <w:tmpl w:val="D6E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D86D1E"/>
    <w:multiLevelType w:val="hybridMultilevel"/>
    <w:tmpl w:val="DD42E4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3465298"/>
    <w:multiLevelType w:val="hybridMultilevel"/>
    <w:tmpl w:val="36D4D66C"/>
    <w:lvl w:ilvl="0" w:tplc="481A746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745FAF"/>
    <w:multiLevelType w:val="hybridMultilevel"/>
    <w:tmpl w:val="42AC2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8"/>
  </w:num>
  <w:num w:numId="4">
    <w:abstractNumId w:val="0"/>
  </w:num>
  <w:num w:numId="5">
    <w:abstractNumId w:val="4"/>
  </w:num>
  <w:num w:numId="6">
    <w:abstractNumId w:val="1"/>
  </w:num>
  <w:num w:numId="7">
    <w:abstractNumId w:val="18"/>
  </w:num>
  <w:num w:numId="8">
    <w:abstractNumId w:val="11"/>
  </w:num>
  <w:num w:numId="9">
    <w:abstractNumId w:val="2"/>
  </w:num>
  <w:num w:numId="10">
    <w:abstractNumId w:val="5"/>
  </w:num>
  <w:num w:numId="11">
    <w:abstractNumId w:val="9"/>
  </w:num>
  <w:num w:numId="12">
    <w:abstractNumId w:val="3"/>
  </w:num>
  <w:num w:numId="13">
    <w:abstractNumId w:val="12"/>
  </w:num>
  <w:num w:numId="14">
    <w:abstractNumId w:val="14"/>
  </w:num>
  <w:num w:numId="15">
    <w:abstractNumId w:val="16"/>
  </w:num>
  <w:num w:numId="16">
    <w:abstractNumId w:val="15"/>
  </w:num>
  <w:num w:numId="17">
    <w:abstractNumId w:val="13"/>
  </w:num>
  <w:num w:numId="18">
    <w:abstractNumId w:val="10"/>
  </w:num>
  <w:num w:numId="19">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45"/>
    <w:rsid w:val="0000340B"/>
    <w:rsid w:val="000043BD"/>
    <w:rsid w:val="000062CC"/>
    <w:rsid w:val="00015E12"/>
    <w:rsid w:val="000161B1"/>
    <w:rsid w:val="00024391"/>
    <w:rsid w:val="000257A1"/>
    <w:rsid w:val="0003181C"/>
    <w:rsid w:val="00031D63"/>
    <w:rsid w:val="00043385"/>
    <w:rsid w:val="00051CB8"/>
    <w:rsid w:val="00057244"/>
    <w:rsid w:val="000615A2"/>
    <w:rsid w:val="00061DF2"/>
    <w:rsid w:val="00070646"/>
    <w:rsid w:val="000708AF"/>
    <w:rsid w:val="00074E6C"/>
    <w:rsid w:val="000752E2"/>
    <w:rsid w:val="00085EB3"/>
    <w:rsid w:val="00093B39"/>
    <w:rsid w:val="000957D1"/>
    <w:rsid w:val="00096496"/>
    <w:rsid w:val="000A5C52"/>
    <w:rsid w:val="000C3699"/>
    <w:rsid w:val="000C3BF8"/>
    <w:rsid w:val="000D0D79"/>
    <w:rsid w:val="000D3D67"/>
    <w:rsid w:val="000D7301"/>
    <w:rsid w:val="000E733F"/>
    <w:rsid w:val="000F2A26"/>
    <w:rsid w:val="000F59ED"/>
    <w:rsid w:val="00104F03"/>
    <w:rsid w:val="001143D2"/>
    <w:rsid w:val="001154EC"/>
    <w:rsid w:val="0011638A"/>
    <w:rsid w:val="001172CF"/>
    <w:rsid w:val="001254EB"/>
    <w:rsid w:val="00125661"/>
    <w:rsid w:val="001342BE"/>
    <w:rsid w:val="00137BD5"/>
    <w:rsid w:val="00140E41"/>
    <w:rsid w:val="001433C0"/>
    <w:rsid w:val="00153088"/>
    <w:rsid w:val="00170FD5"/>
    <w:rsid w:val="00173388"/>
    <w:rsid w:val="00180D70"/>
    <w:rsid w:val="001814D4"/>
    <w:rsid w:val="001818BC"/>
    <w:rsid w:val="00183EEF"/>
    <w:rsid w:val="001859C6"/>
    <w:rsid w:val="001952A7"/>
    <w:rsid w:val="001956B4"/>
    <w:rsid w:val="001A1CEF"/>
    <w:rsid w:val="001A6DEC"/>
    <w:rsid w:val="001B26F6"/>
    <w:rsid w:val="001C0824"/>
    <w:rsid w:val="001C2A9F"/>
    <w:rsid w:val="001C2BF4"/>
    <w:rsid w:val="001C5424"/>
    <w:rsid w:val="001D2394"/>
    <w:rsid w:val="001D3089"/>
    <w:rsid w:val="001D59A7"/>
    <w:rsid w:val="001D5F44"/>
    <w:rsid w:val="001D6C9A"/>
    <w:rsid w:val="001E7AA3"/>
    <w:rsid w:val="001F2402"/>
    <w:rsid w:val="001F3962"/>
    <w:rsid w:val="001F49DB"/>
    <w:rsid w:val="00211D9F"/>
    <w:rsid w:val="00216625"/>
    <w:rsid w:val="00222DF4"/>
    <w:rsid w:val="00224214"/>
    <w:rsid w:val="00231DC7"/>
    <w:rsid w:val="002340F4"/>
    <w:rsid w:val="00240A4D"/>
    <w:rsid w:val="00241DD7"/>
    <w:rsid w:val="0024328C"/>
    <w:rsid w:val="00244DF3"/>
    <w:rsid w:val="00244F35"/>
    <w:rsid w:val="00250B13"/>
    <w:rsid w:val="00250D63"/>
    <w:rsid w:val="00261838"/>
    <w:rsid w:val="00262957"/>
    <w:rsid w:val="00263341"/>
    <w:rsid w:val="002664EC"/>
    <w:rsid w:val="00271171"/>
    <w:rsid w:val="002719DC"/>
    <w:rsid w:val="00281377"/>
    <w:rsid w:val="0028461B"/>
    <w:rsid w:val="002872A5"/>
    <w:rsid w:val="002929ED"/>
    <w:rsid w:val="002B11AF"/>
    <w:rsid w:val="002B2ABB"/>
    <w:rsid w:val="002C0BFB"/>
    <w:rsid w:val="002C504D"/>
    <w:rsid w:val="002C7E3B"/>
    <w:rsid w:val="002D2A77"/>
    <w:rsid w:val="002E0332"/>
    <w:rsid w:val="002E1B7B"/>
    <w:rsid w:val="002E4973"/>
    <w:rsid w:val="002F0EDF"/>
    <w:rsid w:val="002F1858"/>
    <w:rsid w:val="002F5728"/>
    <w:rsid w:val="003117FE"/>
    <w:rsid w:val="00314477"/>
    <w:rsid w:val="00315CAB"/>
    <w:rsid w:val="00317750"/>
    <w:rsid w:val="0032193E"/>
    <w:rsid w:val="00323CFE"/>
    <w:rsid w:val="003254A0"/>
    <w:rsid w:val="00325E44"/>
    <w:rsid w:val="003313BB"/>
    <w:rsid w:val="0033402E"/>
    <w:rsid w:val="003425C2"/>
    <w:rsid w:val="003452AF"/>
    <w:rsid w:val="00346E87"/>
    <w:rsid w:val="00347754"/>
    <w:rsid w:val="00350AEB"/>
    <w:rsid w:val="0035203C"/>
    <w:rsid w:val="00354CAC"/>
    <w:rsid w:val="00356E3A"/>
    <w:rsid w:val="00357954"/>
    <w:rsid w:val="00360625"/>
    <w:rsid w:val="003665B3"/>
    <w:rsid w:val="0036700C"/>
    <w:rsid w:val="00371ACC"/>
    <w:rsid w:val="00385A08"/>
    <w:rsid w:val="00392EF9"/>
    <w:rsid w:val="003972FA"/>
    <w:rsid w:val="003A01D6"/>
    <w:rsid w:val="003A5DF2"/>
    <w:rsid w:val="003A606D"/>
    <w:rsid w:val="003A623A"/>
    <w:rsid w:val="003C73D0"/>
    <w:rsid w:val="003C7ABE"/>
    <w:rsid w:val="003D02F1"/>
    <w:rsid w:val="003D381E"/>
    <w:rsid w:val="003D7574"/>
    <w:rsid w:val="003D763F"/>
    <w:rsid w:val="003D7AD4"/>
    <w:rsid w:val="003E0AB8"/>
    <w:rsid w:val="003E1C87"/>
    <w:rsid w:val="003E4940"/>
    <w:rsid w:val="003E6A45"/>
    <w:rsid w:val="003E6BC4"/>
    <w:rsid w:val="003E79F4"/>
    <w:rsid w:val="003F4E8F"/>
    <w:rsid w:val="003F60D7"/>
    <w:rsid w:val="003F729B"/>
    <w:rsid w:val="00410E9A"/>
    <w:rsid w:val="004149CE"/>
    <w:rsid w:val="00420A4F"/>
    <w:rsid w:val="004254B3"/>
    <w:rsid w:val="004402F0"/>
    <w:rsid w:val="00442F09"/>
    <w:rsid w:val="0044391A"/>
    <w:rsid w:val="0044710C"/>
    <w:rsid w:val="00450705"/>
    <w:rsid w:val="004756C0"/>
    <w:rsid w:val="004772A2"/>
    <w:rsid w:val="004813E1"/>
    <w:rsid w:val="0048303B"/>
    <w:rsid w:val="0048411F"/>
    <w:rsid w:val="0048673A"/>
    <w:rsid w:val="00487AD6"/>
    <w:rsid w:val="004918F3"/>
    <w:rsid w:val="00494670"/>
    <w:rsid w:val="004A39AB"/>
    <w:rsid w:val="004B58BA"/>
    <w:rsid w:val="004B7F40"/>
    <w:rsid w:val="004D1364"/>
    <w:rsid w:val="004D3346"/>
    <w:rsid w:val="004D65D7"/>
    <w:rsid w:val="004D7D68"/>
    <w:rsid w:val="004E176E"/>
    <w:rsid w:val="004E41EB"/>
    <w:rsid w:val="004E5EC5"/>
    <w:rsid w:val="004E79E6"/>
    <w:rsid w:val="005072D5"/>
    <w:rsid w:val="0050799C"/>
    <w:rsid w:val="005100FD"/>
    <w:rsid w:val="005102E6"/>
    <w:rsid w:val="00511993"/>
    <w:rsid w:val="00514B5C"/>
    <w:rsid w:val="0051663C"/>
    <w:rsid w:val="005171AA"/>
    <w:rsid w:val="00524AF6"/>
    <w:rsid w:val="00526AD4"/>
    <w:rsid w:val="005273CA"/>
    <w:rsid w:val="0053214F"/>
    <w:rsid w:val="005357DF"/>
    <w:rsid w:val="00535E79"/>
    <w:rsid w:val="00536746"/>
    <w:rsid w:val="005442B9"/>
    <w:rsid w:val="00546428"/>
    <w:rsid w:val="00555526"/>
    <w:rsid w:val="00557FB3"/>
    <w:rsid w:val="00560DCA"/>
    <w:rsid w:val="00560ED9"/>
    <w:rsid w:val="005620B2"/>
    <w:rsid w:val="005754F4"/>
    <w:rsid w:val="0057650D"/>
    <w:rsid w:val="00580F95"/>
    <w:rsid w:val="005819C8"/>
    <w:rsid w:val="00582A42"/>
    <w:rsid w:val="0059257A"/>
    <w:rsid w:val="005A2424"/>
    <w:rsid w:val="005A4E74"/>
    <w:rsid w:val="005D0DB0"/>
    <w:rsid w:val="005D1D16"/>
    <w:rsid w:val="005D1E7E"/>
    <w:rsid w:val="005D4BD0"/>
    <w:rsid w:val="005D765A"/>
    <w:rsid w:val="005D7F18"/>
    <w:rsid w:val="005E0F58"/>
    <w:rsid w:val="005E42FE"/>
    <w:rsid w:val="005F1808"/>
    <w:rsid w:val="005F23C7"/>
    <w:rsid w:val="005F44AB"/>
    <w:rsid w:val="005F7D10"/>
    <w:rsid w:val="00601087"/>
    <w:rsid w:val="00605708"/>
    <w:rsid w:val="006108B7"/>
    <w:rsid w:val="0061339A"/>
    <w:rsid w:val="00615CEB"/>
    <w:rsid w:val="0062383A"/>
    <w:rsid w:val="00623E6C"/>
    <w:rsid w:val="006247C6"/>
    <w:rsid w:val="00634B2E"/>
    <w:rsid w:val="00634D87"/>
    <w:rsid w:val="006361B9"/>
    <w:rsid w:val="00642823"/>
    <w:rsid w:val="006435AC"/>
    <w:rsid w:val="006467F0"/>
    <w:rsid w:val="00650F0A"/>
    <w:rsid w:val="00652BE4"/>
    <w:rsid w:val="00660490"/>
    <w:rsid w:val="00661817"/>
    <w:rsid w:val="00662B3E"/>
    <w:rsid w:val="00663E4E"/>
    <w:rsid w:val="00677390"/>
    <w:rsid w:val="00691C06"/>
    <w:rsid w:val="00696604"/>
    <w:rsid w:val="006A781F"/>
    <w:rsid w:val="006A7EEF"/>
    <w:rsid w:val="006B1820"/>
    <w:rsid w:val="006C671E"/>
    <w:rsid w:val="006D5490"/>
    <w:rsid w:val="006E2C41"/>
    <w:rsid w:val="006F53B5"/>
    <w:rsid w:val="00711051"/>
    <w:rsid w:val="00711809"/>
    <w:rsid w:val="0071339A"/>
    <w:rsid w:val="00713FF8"/>
    <w:rsid w:val="00716CBF"/>
    <w:rsid w:val="00724190"/>
    <w:rsid w:val="00742D15"/>
    <w:rsid w:val="00745BBB"/>
    <w:rsid w:val="007478B3"/>
    <w:rsid w:val="00756F1E"/>
    <w:rsid w:val="00761CE2"/>
    <w:rsid w:val="00762010"/>
    <w:rsid w:val="007652D3"/>
    <w:rsid w:val="00767822"/>
    <w:rsid w:val="00772BBA"/>
    <w:rsid w:val="00774469"/>
    <w:rsid w:val="0077791E"/>
    <w:rsid w:val="00791837"/>
    <w:rsid w:val="00792333"/>
    <w:rsid w:val="00795705"/>
    <w:rsid w:val="007A0E4D"/>
    <w:rsid w:val="007A4131"/>
    <w:rsid w:val="007B277F"/>
    <w:rsid w:val="007B58DE"/>
    <w:rsid w:val="007C35F8"/>
    <w:rsid w:val="007C37BB"/>
    <w:rsid w:val="007C3EDB"/>
    <w:rsid w:val="007D2C90"/>
    <w:rsid w:val="007D3932"/>
    <w:rsid w:val="007D4CAA"/>
    <w:rsid w:val="007D51AE"/>
    <w:rsid w:val="007D5C1A"/>
    <w:rsid w:val="007D6B3E"/>
    <w:rsid w:val="007E5A0C"/>
    <w:rsid w:val="007E7A9F"/>
    <w:rsid w:val="007E7C46"/>
    <w:rsid w:val="007F70B3"/>
    <w:rsid w:val="007F7A73"/>
    <w:rsid w:val="0080029A"/>
    <w:rsid w:val="00805628"/>
    <w:rsid w:val="00805A20"/>
    <w:rsid w:val="00812603"/>
    <w:rsid w:val="00820DF4"/>
    <w:rsid w:val="0082527C"/>
    <w:rsid w:val="00826154"/>
    <w:rsid w:val="008376C0"/>
    <w:rsid w:val="008508B8"/>
    <w:rsid w:val="0085163F"/>
    <w:rsid w:val="008517F2"/>
    <w:rsid w:val="00852A46"/>
    <w:rsid w:val="008560B4"/>
    <w:rsid w:val="00856A54"/>
    <w:rsid w:val="00856EB8"/>
    <w:rsid w:val="0085778C"/>
    <w:rsid w:val="00857C40"/>
    <w:rsid w:val="00857E45"/>
    <w:rsid w:val="0086334E"/>
    <w:rsid w:val="00865711"/>
    <w:rsid w:val="0086579D"/>
    <w:rsid w:val="00870097"/>
    <w:rsid w:val="00882418"/>
    <w:rsid w:val="008908DF"/>
    <w:rsid w:val="008A5E88"/>
    <w:rsid w:val="008A7BC3"/>
    <w:rsid w:val="008B51E5"/>
    <w:rsid w:val="008B569B"/>
    <w:rsid w:val="008B58C6"/>
    <w:rsid w:val="008B6C39"/>
    <w:rsid w:val="008C4C31"/>
    <w:rsid w:val="008C4D33"/>
    <w:rsid w:val="008D2556"/>
    <w:rsid w:val="008D3C5C"/>
    <w:rsid w:val="008D3EE2"/>
    <w:rsid w:val="008D3F02"/>
    <w:rsid w:val="008D4C6E"/>
    <w:rsid w:val="008D7632"/>
    <w:rsid w:val="008E28DF"/>
    <w:rsid w:val="008E4458"/>
    <w:rsid w:val="008E5C1C"/>
    <w:rsid w:val="008F0987"/>
    <w:rsid w:val="008F0BCC"/>
    <w:rsid w:val="008F0E00"/>
    <w:rsid w:val="008F442D"/>
    <w:rsid w:val="008F544B"/>
    <w:rsid w:val="008F6FEE"/>
    <w:rsid w:val="009226E8"/>
    <w:rsid w:val="00923971"/>
    <w:rsid w:val="0092462D"/>
    <w:rsid w:val="0093392D"/>
    <w:rsid w:val="00942447"/>
    <w:rsid w:val="00943516"/>
    <w:rsid w:val="0096160B"/>
    <w:rsid w:val="00961658"/>
    <w:rsid w:val="009802BA"/>
    <w:rsid w:val="00986178"/>
    <w:rsid w:val="00986AE3"/>
    <w:rsid w:val="0099020C"/>
    <w:rsid w:val="00991E39"/>
    <w:rsid w:val="009922B2"/>
    <w:rsid w:val="0099514C"/>
    <w:rsid w:val="009A1917"/>
    <w:rsid w:val="009A7D57"/>
    <w:rsid w:val="009B5EA3"/>
    <w:rsid w:val="009E1972"/>
    <w:rsid w:val="009E3AE9"/>
    <w:rsid w:val="009E4631"/>
    <w:rsid w:val="009E54AF"/>
    <w:rsid w:val="009F4514"/>
    <w:rsid w:val="009F5A37"/>
    <w:rsid w:val="009F68BB"/>
    <w:rsid w:val="009F6FF7"/>
    <w:rsid w:val="00A0225E"/>
    <w:rsid w:val="00A02BF9"/>
    <w:rsid w:val="00A05FEF"/>
    <w:rsid w:val="00A10B44"/>
    <w:rsid w:val="00A25E38"/>
    <w:rsid w:val="00A27074"/>
    <w:rsid w:val="00A328A6"/>
    <w:rsid w:val="00A3343D"/>
    <w:rsid w:val="00A35A19"/>
    <w:rsid w:val="00A404E2"/>
    <w:rsid w:val="00A40A27"/>
    <w:rsid w:val="00A412CF"/>
    <w:rsid w:val="00A43705"/>
    <w:rsid w:val="00A50DE1"/>
    <w:rsid w:val="00A552B4"/>
    <w:rsid w:val="00A60EDB"/>
    <w:rsid w:val="00A61263"/>
    <w:rsid w:val="00A61A19"/>
    <w:rsid w:val="00A71382"/>
    <w:rsid w:val="00A800AC"/>
    <w:rsid w:val="00A8172B"/>
    <w:rsid w:val="00A82A98"/>
    <w:rsid w:val="00A86D93"/>
    <w:rsid w:val="00A90B6F"/>
    <w:rsid w:val="00A91E3C"/>
    <w:rsid w:val="00A9322C"/>
    <w:rsid w:val="00A93653"/>
    <w:rsid w:val="00A96549"/>
    <w:rsid w:val="00AA7595"/>
    <w:rsid w:val="00AA7963"/>
    <w:rsid w:val="00AB3574"/>
    <w:rsid w:val="00AB58F0"/>
    <w:rsid w:val="00AC60FC"/>
    <w:rsid w:val="00AD1E79"/>
    <w:rsid w:val="00AD74A4"/>
    <w:rsid w:val="00AD7BC1"/>
    <w:rsid w:val="00AE1106"/>
    <w:rsid w:val="00AE2259"/>
    <w:rsid w:val="00AF08F7"/>
    <w:rsid w:val="00AF2BFC"/>
    <w:rsid w:val="00B006C1"/>
    <w:rsid w:val="00B05891"/>
    <w:rsid w:val="00B138CB"/>
    <w:rsid w:val="00B15838"/>
    <w:rsid w:val="00B233DA"/>
    <w:rsid w:val="00B24366"/>
    <w:rsid w:val="00B32938"/>
    <w:rsid w:val="00B361AF"/>
    <w:rsid w:val="00B37910"/>
    <w:rsid w:val="00B37998"/>
    <w:rsid w:val="00B42562"/>
    <w:rsid w:val="00B459AD"/>
    <w:rsid w:val="00B559AB"/>
    <w:rsid w:val="00B6254E"/>
    <w:rsid w:val="00B71361"/>
    <w:rsid w:val="00B8099C"/>
    <w:rsid w:val="00B830E3"/>
    <w:rsid w:val="00B83FA9"/>
    <w:rsid w:val="00B9392C"/>
    <w:rsid w:val="00B951A1"/>
    <w:rsid w:val="00BA12C7"/>
    <w:rsid w:val="00BA25DD"/>
    <w:rsid w:val="00BA3B71"/>
    <w:rsid w:val="00BA67B0"/>
    <w:rsid w:val="00BB08CC"/>
    <w:rsid w:val="00BB0D71"/>
    <w:rsid w:val="00BB48E7"/>
    <w:rsid w:val="00BB6EA6"/>
    <w:rsid w:val="00BB6FFC"/>
    <w:rsid w:val="00BC04E0"/>
    <w:rsid w:val="00BC5532"/>
    <w:rsid w:val="00BD1183"/>
    <w:rsid w:val="00C04E9F"/>
    <w:rsid w:val="00C07FB1"/>
    <w:rsid w:val="00C11F67"/>
    <w:rsid w:val="00C17B6E"/>
    <w:rsid w:val="00C20DC0"/>
    <w:rsid w:val="00C248AD"/>
    <w:rsid w:val="00C2656C"/>
    <w:rsid w:val="00C30F5E"/>
    <w:rsid w:val="00C323A2"/>
    <w:rsid w:val="00C61F66"/>
    <w:rsid w:val="00C639C4"/>
    <w:rsid w:val="00C64281"/>
    <w:rsid w:val="00C776A1"/>
    <w:rsid w:val="00C77EC4"/>
    <w:rsid w:val="00C814B5"/>
    <w:rsid w:val="00C81B42"/>
    <w:rsid w:val="00C94F7C"/>
    <w:rsid w:val="00C95795"/>
    <w:rsid w:val="00CA4CF2"/>
    <w:rsid w:val="00CA587E"/>
    <w:rsid w:val="00CB1160"/>
    <w:rsid w:val="00CB158A"/>
    <w:rsid w:val="00CB4D47"/>
    <w:rsid w:val="00CC467B"/>
    <w:rsid w:val="00CD5239"/>
    <w:rsid w:val="00CE3160"/>
    <w:rsid w:val="00CE3911"/>
    <w:rsid w:val="00CE71D5"/>
    <w:rsid w:val="00CF5D92"/>
    <w:rsid w:val="00CF61C3"/>
    <w:rsid w:val="00CF67FC"/>
    <w:rsid w:val="00CF6C60"/>
    <w:rsid w:val="00D01758"/>
    <w:rsid w:val="00D037BD"/>
    <w:rsid w:val="00D12C8A"/>
    <w:rsid w:val="00D137EC"/>
    <w:rsid w:val="00D159E2"/>
    <w:rsid w:val="00D20C50"/>
    <w:rsid w:val="00D22690"/>
    <w:rsid w:val="00D26158"/>
    <w:rsid w:val="00D30791"/>
    <w:rsid w:val="00D31933"/>
    <w:rsid w:val="00D32953"/>
    <w:rsid w:val="00D337E5"/>
    <w:rsid w:val="00D35A41"/>
    <w:rsid w:val="00D46B9B"/>
    <w:rsid w:val="00D53D2B"/>
    <w:rsid w:val="00D567C6"/>
    <w:rsid w:val="00D61638"/>
    <w:rsid w:val="00D7379C"/>
    <w:rsid w:val="00D7513F"/>
    <w:rsid w:val="00D83324"/>
    <w:rsid w:val="00D90836"/>
    <w:rsid w:val="00D9718A"/>
    <w:rsid w:val="00DA0705"/>
    <w:rsid w:val="00DA197D"/>
    <w:rsid w:val="00DB6A29"/>
    <w:rsid w:val="00DB7675"/>
    <w:rsid w:val="00DD148E"/>
    <w:rsid w:val="00DD298D"/>
    <w:rsid w:val="00DD5660"/>
    <w:rsid w:val="00DE24D1"/>
    <w:rsid w:val="00DE2E77"/>
    <w:rsid w:val="00DE3D1B"/>
    <w:rsid w:val="00DF3103"/>
    <w:rsid w:val="00DF75EA"/>
    <w:rsid w:val="00DF79EA"/>
    <w:rsid w:val="00E06A34"/>
    <w:rsid w:val="00E101C2"/>
    <w:rsid w:val="00E14EA8"/>
    <w:rsid w:val="00E16D84"/>
    <w:rsid w:val="00E213B0"/>
    <w:rsid w:val="00E27163"/>
    <w:rsid w:val="00E2747D"/>
    <w:rsid w:val="00E4134C"/>
    <w:rsid w:val="00E46A19"/>
    <w:rsid w:val="00E47DD2"/>
    <w:rsid w:val="00E50122"/>
    <w:rsid w:val="00E636C1"/>
    <w:rsid w:val="00E63776"/>
    <w:rsid w:val="00E76159"/>
    <w:rsid w:val="00E830B9"/>
    <w:rsid w:val="00E9239F"/>
    <w:rsid w:val="00E943A2"/>
    <w:rsid w:val="00EA113E"/>
    <w:rsid w:val="00EA24AD"/>
    <w:rsid w:val="00EA45E5"/>
    <w:rsid w:val="00EA7843"/>
    <w:rsid w:val="00EB37C2"/>
    <w:rsid w:val="00EB5CB8"/>
    <w:rsid w:val="00EB771F"/>
    <w:rsid w:val="00EC4108"/>
    <w:rsid w:val="00ED2434"/>
    <w:rsid w:val="00ED60E5"/>
    <w:rsid w:val="00ED62CD"/>
    <w:rsid w:val="00EE08CA"/>
    <w:rsid w:val="00EE53B8"/>
    <w:rsid w:val="00EF1A1C"/>
    <w:rsid w:val="00EF72AF"/>
    <w:rsid w:val="00F003A4"/>
    <w:rsid w:val="00F0078A"/>
    <w:rsid w:val="00F01C10"/>
    <w:rsid w:val="00F046B1"/>
    <w:rsid w:val="00F07140"/>
    <w:rsid w:val="00F1287C"/>
    <w:rsid w:val="00F20AA5"/>
    <w:rsid w:val="00F22A08"/>
    <w:rsid w:val="00F279BF"/>
    <w:rsid w:val="00F3118B"/>
    <w:rsid w:val="00F3150D"/>
    <w:rsid w:val="00F42E37"/>
    <w:rsid w:val="00F436CB"/>
    <w:rsid w:val="00F46F30"/>
    <w:rsid w:val="00F52707"/>
    <w:rsid w:val="00F55192"/>
    <w:rsid w:val="00F6176A"/>
    <w:rsid w:val="00F63D6B"/>
    <w:rsid w:val="00F67754"/>
    <w:rsid w:val="00F73630"/>
    <w:rsid w:val="00F855C8"/>
    <w:rsid w:val="00F863F2"/>
    <w:rsid w:val="00F86F86"/>
    <w:rsid w:val="00F9337D"/>
    <w:rsid w:val="00FA1737"/>
    <w:rsid w:val="00FA224A"/>
    <w:rsid w:val="00FA3E77"/>
    <w:rsid w:val="00FC3BBF"/>
    <w:rsid w:val="00FC533C"/>
    <w:rsid w:val="00FC58E6"/>
    <w:rsid w:val="00FC6441"/>
    <w:rsid w:val="00FD00BF"/>
    <w:rsid w:val="00FD44F3"/>
    <w:rsid w:val="00FE0633"/>
    <w:rsid w:val="00FE1B36"/>
    <w:rsid w:val="00FE1EA0"/>
    <w:rsid w:val="00FE20D8"/>
    <w:rsid w:val="00FE5DDC"/>
    <w:rsid w:val="00FF271F"/>
    <w:rsid w:val="00FF31AE"/>
    <w:rsid w:val="00FF3733"/>
    <w:rsid w:val="00FF7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1F9B8E2"/>
  <w15:chartTrackingRefBased/>
  <w15:docId w15:val="{B0CD8171-AB86-4E2B-8211-EB94D3689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385"/>
    <w:rPr>
      <w:rFonts w:ascii="Arial" w:hAnsi="Arial"/>
      <w:sz w:val="24"/>
    </w:rPr>
  </w:style>
  <w:style w:type="paragraph" w:styleId="Heading1">
    <w:name w:val="heading 1"/>
    <w:basedOn w:val="Normal"/>
    <w:next w:val="Normal"/>
    <w:qFormat/>
    <w:rsid w:val="00043385"/>
    <w:pPr>
      <w:keepNext/>
      <w:outlineLvl w:val="0"/>
    </w:pPr>
    <w:rPr>
      <w:b/>
    </w:rPr>
  </w:style>
  <w:style w:type="paragraph" w:styleId="Heading5">
    <w:name w:val="heading 5"/>
    <w:basedOn w:val="Normal"/>
    <w:next w:val="Normal"/>
    <w:qFormat/>
    <w:rsid w:val="00043385"/>
    <w:pPr>
      <w:keepNext/>
      <w:outlineLvl w:val="4"/>
    </w:pPr>
    <w:rPr>
      <w:rFonts w:ascii="Univers" w:hAnsi="Univers"/>
      <w:b/>
      <w:u w:val="single"/>
    </w:rPr>
  </w:style>
  <w:style w:type="paragraph" w:styleId="Heading6">
    <w:name w:val="heading 6"/>
    <w:basedOn w:val="Normal"/>
    <w:next w:val="Normal"/>
    <w:qFormat/>
    <w:rsid w:val="00043385"/>
    <w:pPr>
      <w:keepNext/>
      <w:outlineLvl w:val="5"/>
    </w:pPr>
    <w:rPr>
      <w:rFonts w:ascii="Univers" w:hAnsi="Univers"/>
      <w:b/>
    </w:rPr>
  </w:style>
  <w:style w:type="paragraph" w:styleId="Heading7">
    <w:name w:val="heading 7"/>
    <w:basedOn w:val="Normal"/>
    <w:next w:val="Normal"/>
    <w:qFormat/>
    <w:rsid w:val="00043385"/>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3385"/>
  </w:style>
  <w:style w:type="paragraph" w:customStyle="1" w:styleId="arial11">
    <w:name w:val="arial11"/>
    <w:basedOn w:val="Normal"/>
    <w:rsid w:val="00043385"/>
  </w:style>
  <w:style w:type="paragraph" w:styleId="BodyText">
    <w:name w:val="Body Text"/>
    <w:basedOn w:val="Normal"/>
    <w:rsid w:val="00043385"/>
  </w:style>
  <w:style w:type="paragraph" w:styleId="Footer">
    <w:name w:val="footer"/>
    <w:basedOn w:val="Normal"/>
    <w:link w:val="FooterChar"/>
    <w:uiPriority w:val="99"/>
    <w:rsid w:val="00043385"/>
    <w:pPr>
      <w:tabs>
        <w:tab w:val="center" w:pos="4153"/>
        <w:tab w:val="right" w:pos="8306"/>
      </w:tabs>
    </w:pPr>
  </w:style>
  <w:style w:type="character" w:styleId="PageNumber">
    <w:name w:val="page number"/>
    <w:basedOn w:val="DefaultParagraphFont"/>
    <w:rsid w:val="00043385"/>
  </w:style>
  <w:style w:type="paragraph" w:styleId="BalloonText">
    <w:name w:val="Balloon Text"/>
    <w:basedOn w:val="Normal"/>
    <w:semiHidden/>
    <w:rsid w:val="00357954"/>
    <w:rPr>
      <w:rFonts w:ascii="Tahoma" w:hAnsi="Tahoma" w:cs="Tahoma"/>
      <w:sz w:val="16"/>
      <w:szCs w:val="16"/>
    </w:rPr>
  </w:style>
  <w:style w:type="character" w:styleId="Hyperlink">
    <w:name w:val="Hyperlink"/>
    <w:uiPriority w:val="99"/>
    <w:rsid w:val="00F863F2"/>
    <w:rPr>
      <w:color w:val="0000FF"/>
      <w:u w:val="single"/>
    </w:rPr>
  </w:style>
  <w:style w:type="paragraph" w:styleId="ListParagraph">
    <w:name w:val="List Paragraph"/>
    <w:aliases w:val="Picture"/>
    <w:basedOn w:val="Normal"/>
    <w:link w:val="ListParagraphChar"/>
    <w:uiPriority w:val="34"/>
    <w:qFormat/>
    <w:rsid w:val="00642823"/>
    <w:pPr>
      <w:ind w:left="720"/>
    </w:pPr>
    <w:rPr>
      <w:szCs w:val="24"/>
    </w:rPr>
  </w:style>
  <w:style w:type="character" w:styleId="FollowedHyperlink">
    <w:name w:val="FollowedHyperlink"/>
    <w:uiPriority w:val="99"/>
    <w:semiHidden/>
    <w:unhideWhenUsed/>
    <w:rsid w:val="00BB0D71"/>
    <w:rPr>
      <w:color w:val="800080"/>
      <w:u w:val="single"/>
    </w:rPr>
  </w:style>
  <w:style w:type="paragraph" w:styleId="NoSpacing">
    <w:name w:val="No Spacing"/>
    <w:link w:val="NoSpacingChar"/>
    <w:uiPriority w:val="1"/>
    <w:qFormat/>
    <w:rsid w:val="00EB771F"/>
    <w:rPr>
      <w:rFonts w:ascii="Calibri" w:hAnsi="Calibri"/>
      <w:sz w:val="22"/>
      <w:szCs w:val="22"/>
    </w:rPr>
  </w:style>
  <w:style w:type="character" w:customStyle="1" w:styleId="NoSpacingChar">
    <w:name w:val="No Spacing Char"/>
    <w:link w:val="NoSpacing"/>
    <w:uiPriority w:val="1"/>
    <w:rsid w:val="00EB771F"/>
    <w:rPr>
      <w:rFonts w:ascii="Calibri" w:hAnsi="Calibri"/>
      <w:sz w:val="22"/>
      <w:szCs w:val="22"/>
    </w:rPr>
  </w:style>
  <w:style w:type="character" w:customStyle="1" w:styleId="ListParagraphChar">
    <w:name w:val="List Paragraph Char"/>
    <w:aliases w:val="Picture Char"/>
    <w:link w:val="ListParagraph"/>
    <w:uiPriority w:val="34"/>
    <w:locked/>
    <w:rsid w:val="00EB771F"/>
    <w:rPr>
      <w:rFonts w:ascii="Arial" w:hAnsi="Arial"/>
      <w:sz w:val="24"/>
      <w:szCs w:val="24"/>
    </w:rPr>
  </w:style>
  <w:style w:type="character" w:customStyle="1" w:styleId="FooterChar">
    <w:name w:val="Footer Char"/>
    <w:link w:val="Footer"/>
    <w:uiPriority w:val="99"/>
    <w:rsid w:val="00CE3160"/>
    <w:rPr>
      <w:rFonts w:ascii="Arial" w:hAnsi="Arial"/>
      <w:sz w:val="24"/>
    </w:rPr>
  </w:style>
  <w:style w:type="paragraph" w:customStyle="1" w:styleId="Default">
    <w:name w:val="Default"/>
    <w:rsid w:val="007A4131"/>
    <w:pPr>
      <w:autoSpaceDE w:val="0"/>
      <w:autoSpaceDN w:val="0"/>
      <w:adjustRightInd w:val="0"/>
    </w:pPr>
    <w:rPr>
      <w:rFonts w:ascii="Swiss 72 1 BT" w:hAnsi="Swiss 72 1 BT" w:cs="Swiss 72 1 BT"/>
      <w:color w:val="000000"/>
      <w:sz w:val="24"/>
      <w:szCs w:val="24"/>
    </w:rPr>
  </w:style>
  <w:style w:type="paragraph" w:styleId="CommentText">
    <w:name w:val="annotation text"/>
    <w:basedOn w:val="Normal"/>
    <w:link w:val="CommentTextChar"/>
    <w:uiPriority w:val="99"/>
    <w:unhideWhenUsed/>
    <w:rsid w:val="00B830E3"/>
    <w:pPr>
      <w:spacing w:after="200"/>
    </w:pPr>
    <w:rPr>
      <w:rFonts w:asciiTheme="minorHAnsi" w:eastAsiaTheme="minorEastAsia" w:hAnsiTheme="minorHAnsi" w:cstheme="minorBidi"/>
      <w:sz w:val="20"/>
    </w:rPr>
  </w:style>
  <w:style w:type="character" w:customStyle="1" w:styleId="CommentTextChar">
    <w:name w:val="Comment Text Char"/>
    <w:basedOn w:val="DefaultParagraphFont"/>
    <w:link w:val="CommentText"/>
    <w:uiPriority w:val="99"/>
    <w:rsid w:val="00B830E3"/>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3D7574"/>
    <w:rPr>
      <w:sz w:val="16"/>
      <w:szCs w:val="16"/>
    </w:rPr>
  </w:style>
  <w:style w:type="paragraph" w:styleId="CommentSubject">
    <w:name w:val="annotation subject"/>
    <w:basedOn w:val="CommentText"/>
    <w:next w:val="CommentText"/>
    <w:link w:val="CommentSubjectChar"/>
    <w:uiPriority w:val="99"/>
    <w:semiHidden/>
    <w:unhideWhenUsed/>
    <w:rsid w:val="003D7574"/>
    <w:pPr>
      <w:spacing w:after="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3D7574"/>
    <w:rPr>
      <w:rFonts w:ascii="Arial" w:eastAsiaTheme="minorEastAsia" w:hAnsi="Arial" w:cstheme="minorBidi"/>
      <w:b/>
      <w:bCs/>
    </w:rPr>
  </w:style>
  <w:style w:type="character" w:styleId="Strong">
    <w:name w:val="Strong"/>
    <w:basedOn w:val="DefaultParagraphFont"/>
    <w:uiPriority w:val="22"/>
    <w:qFormat/>
    <w:rsid w:val="00852A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38292">
      <w:bodyDiv w:val="1"/>
      <w:marLeft w:val="0"/>
      <w:marRight w:val="0"/>
      <w:marTop w:val="0"/>
      <w:marBottom w:val="0"/>
      <w:divBdr>
        <w:top w:val="none" w:sz="0" w:space="0" w:color="auto"/>
        <w:left w:val="none" w:sz="0" w:space="0" w:color="auto"/>
        <w:bottom w:val="none" w:sz="0" w:space="0" w:color="auto"/>
        <w:right w:val="none" w:sz="0" w:space="0" w:color="auto"/>
      </w:divBdr>
    </w:div>
    <w:div w:id="360211273">
      <w:bodyDiv w:val="1"/>
      <w:marLeft w:val="0"/>
      <w:marRight w:val="0"/>
      <w:marTop w:val="0"/>
      <w:marBottom w:val="0"/>
      <w:divBdr>
        <w:top w:val="none" w:sz="0" w:space="0" w:color="auto"/>
        <w:left w:val="none" w:sz="0" w:space="0" w:color="auto"/>
        <w:bottom w:val="none" w:sz="0" w:space="0" w:color="auto"/>
        <w:right w:val="none" w:sz="0" w:space="0" w:color="auto"/>
      </w:divBdr>
    </w:div>
    <w:div w:id="410660680">
      <w:bodyDiv w:val="1"/>
      <w:marLeft w:val="0"/>
      <w:marRight w:val="0"/>
      <w:marTop w:val="0"/>
      <w:marBottom w:val="0"/>
      <w:divBdr>
        <w:top w:val="none" w:sz="0" w:space="0" w:color="auto"/>
        <w:left w:val="none" w:sz="0" w:space="0" w:color="auto"/>
        <w:bottom w:val="none" w:sz="0" w:space="0" w:color="auto"/>
        <w:right w:val="none" w:sz="0" w:space="0" w:color="auto"/>
      </w:divBdr>
    </w:div>
    <w:div w:id="557210313">
      <w:bodyDiv w:val="1"/>
      <w:marLeft w:val="0"/>
      <w:marRight w:val="0"/>
      <w:marTop w:val="0"/>
      <w:marBottom w:val="0"/>
      <w:divBdr>
        <w:top w:val="none" w:sz="0" w:space="0" w:color="auto"/>
        <w:left w:val="none" w:sz="0" w:space="0" w:color="auto"/>
        <w:bottom w:val="none" w:sz="0" w:space="0" w:color="auto"/>
        <w:right w:val="none" w:sz="0" w:space="0" w:color="auto"/>
      </w:divBdr>
    </w:div>
    <w:div w:id="600333618">
      <w:bodyDiv w:val="1"/>
      <w:marLeft w:val="0"/>
      <w:marRight w:val="0"/>
      <w:marTop w:val="0"/>
      <w:marBottom w:val="0"/>
      <w:divBdr>
        <w:top w:val="none" w:sz="0" w:space="0" w:color="auto"/>
        <w:left w:val="none" w:sz="0" w:space="0" w:color="auto"/>
        <w:bottom w:val="none" w:sz="0" w:space="0" w:color="auto"/>
        <w:right w:val="none" w:sz="0" w:space="0" w:color="auto"/>
      </w:divBdr>
    </w:div>
    <w:div w:id="808088970">
      <w:bodyDiv w:val="1"/>
      <w:marLeft w:val="0"/>
      <w:marRight w:val="0"/>
      <w:marTop w:val="0"/>
      <w:marBottom w:val="0"/>
      <w:divBdr>
        <w:top w:val="none" w:sz="0" w:space="0" w:color="auto"/>
        <w:left w:val="none" w:sz="0" w:space="0" w:color="auto"/>
        <w:bottom w:val="none" w:sz="0" w:space="0" w:color="auto"/>
        <w:right w:val="none" w:sz="0" w:space="0" w:color="auto"/>
      </w:divBdr>
    </w:div>
    <w:div w:id="812216836">
      <w:bodyDiv w:val="1"/>
      <w:marLeft w:val="0"/>
      <w:marRight w:val="0"/>
      <w:marTop w:val="0"/>
      <w:marBottom w:val="0"/>
      <w:divBdr>
        <w:top w:val="none" w:sz="0" w:space="0" w:color="auto"/>
        <w:left w:val="none" w:sz="0" w:space="0" w:color="auto"/>
        <w:bottom w:val="none" w:sz="0" w:space="0" w:color="auto"/>
        <w:right w:val="none" w:sz="0" w:space="0" w:color="auto"/>
      </w:divBdr>
    </w:div>
    <w:div w:id="859784102">
      <w:bodyDiv w:val="1"/>
      <w:marLeft w:val="0"/>
      <w:marRight w:val="0"/>
      <w:marTop w:val="0"/>
      <w:marBottom w:val="0"/>
      <w:divBdr>
        <w:top w:val="none" w:sz="0" w:space="0" w:color="auto"/>
        <w:left w:val="none" w:sz="0" w:space="0" w:color="auto"/>
        <w:bottom w:val="none" w:sz="0" w:space="0" w:color="auto"/>
        <w:right w:val="none" w:sz="0" w:space="0" w:color="auto"/>
      </w:divBdr>
    </w:div>
    <w:div w:id="863707984">
      <w:bodyDiv w:val="1"/>
      <w:marLeft w:val="0"/>
      <w:marRight w:val="0"/>
      <w:marTop w:val="0"/>
      <w:marBottom w:val="0"/>
      <w:divBdr>
        <w:top w:val="none" w:sz="0" w:space="0" w:color="auto"/>
        <w:left w:val="none" w:sz="0" w:space="0" w:color="auto"/>
        <w:bottom w:val="none" w:sz="0" w:space="0" w:color="auto"/>
        <w:right w:val="none" w:sz="0" w:space="0" w:color="auto"/>
      </w:divBdr>
    </w:div>
    <w:div w:id="979774869">
      <w:bodyDiv w:val="1"/>
      <w:marLeft w:val="0"/>
      <w:marRight w:val="0"/>
      <w:marTop w:val="0"/>
      <w:marBottom w:val="0"/>
      <w:divBdr>
        <w:top w:val="none" w:sz="0" w:space="0" w:color="auto"/>
        <w:left w:val="none" w:sz="0" w:space="0" w:color="auto"/>
        <w:bottom w:val="none" w:sz="0" w:space="0" w:color="auto"/>
        <w:right w:val="none" w:sz="0" w:space="0" w:color="auto"/>
      </w:divBdr>
    </w:div>
    <w:div w:id="981542138">
      <w:bodyDiv w:val="1"/>
      <w:marLeft w:val="0"/>
      <w:marRight w:val="0"/>
      <w:marTop w:val="0"/>
      <w:marBottom w:val="0"/>
      <w:divBdr>
        <w:top w:val="none" w:sz="0" w:space="0" w:color="auto"/>
        <w:left w:val="none" w:sz="0" w:space="0" w:color="auto"/>
        <w:bottom w:val="none" w:sz="0" w:space="0" w:color="auto"/>
        <w:right w:val="none" w:sz="0" w:space="0" w:color="auto"/>
      </w:divBdr>
    </w:div>
    <w:div w:id="1025401346">
      <w:bodyDiv w:val="1"/>
      <w:marLeft w:val="0"/>
      <w:marRight w:val="0"/>
      <w:marTop w:val="0"/>
      <w:marBottom w:val="0"/>
      <w:divBdr>
        <w:top w:val="none" w:sz="0" w:space="0" w:color="auto"/>
        <w:left w:val="none" w:sz="0" w:space="0" w:color="auto"/>
        <w:bottom w:val="none" w:sz="0" w:space="0" w:color="auto"/>
        <w:right w:val="none" w:sz="0" w:space="0" w:color="auto"/>
      </w:divBdr>
    </w:div>
    <w:div w:id="1323311400">
      <w:bodyDiv w:val="1"/>
      <w:marLeft w:val="0"/>
      <w:marRight w:val="0"/>
      <w:marTop w:val="0"/>
      <w:marBottom w:val="0"/>
      <w:divBdr>
        <w:top w:val="none" w:sz="0" w:space="0" w:color="auto"/>
        <w:left w:val="none" w:sz="0" w:space="0" w:color="auto"/>
        <w:bottom w:val="none" w:sz="0" w:space="0" w:color="auto"/>
        <w:right w:val="none" w:sz="0" w:space="0" w:color="auto"/>
      </w:divBdr>
    </w:div>
    <w:div w:id="1793983573">
      <w:bodyDiv w:val="1"/>
      <w:marLeft w:val="0"/>
      <w:marRight w:val="0"/>
      <w:marTop w:val="0"/>
      <w:marBottom w:val="0"/>
      <w:divBdr>
        <w:top w:val="none" w:sz="0" w:space="0" w:color="auto"/>
        <w:left w:val="none" w:sz="0" w:space="0" w:color="auto"/>
        <w:bottom w:val="none" w:sz="0" w:space="0" w:color="auto"/>
        <w:right w:val="none" w:sz="0" w:space="0" w:color="auto"/>
      </w:divBdr>
    </w:div>
    <w:div w:id="1925532667">
      <w:bodyDiv w:val="1"/>
      <w:marLeft w:val="0"/>
      <w:marRight w:val="0"/>
      <w:marTop w:val="0"/>
      <w:marBottom w:val="0"/>
      <w:divBdr>
        <w:top w:val="none" w:sz="0" w:space="0" w:color="auto"/>
        <w:left w:val="none" w:sz="0" w:space="0" w:color="auto"/>
        <w:bottom w:val="none" w:sz="0" w:space="0" w:color="auto"/>
        <w:right w:val="none" w:sz="0" w:space="0" w:color="auto"/>
      </w:divBdr>
    </w:div>
    <w:div w:id="1987200861">
      <w:bodyDiv w:val="1"/>
      <w:marLeft w:val="0"/>
      <w:marRight w:val="0"/>
      <w:marTop w:val="0"/>
      <w:marBottom w:val="0"/>
      <w:divBdr>
        <w:top w:val="none" w:sz="0" w:space="0" w:color="auto"/>
        <w:left w:val="none" w:sz="0" w:space="0" w:color="auto"/>
        <w:bottom w:val="none" w:sz="0" w:space="0" w:color="auto"/>
        <w:right w:val="none" w:sz="0" w:space="0" w:color="auto"/>
      </w:divBdr>
    </w:div>
    <w:div w:id="203102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ael.Walder@lancashire.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ports.ofsted.gov.uk/sites/default/files/documents/local_authority_reports/lancashire/054_Monitoring%20visit%20of%20LA%20childrens%20services%20as%20pdf.pdf"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6b%20-%20Committee%20Report%20(Excluding%20Regulation%20%20Development%20Contr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E6F3F-C8DC-4628-A085-8FF412232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6b - Committee Report (Excluding Regulation  Development Control).dot</Template>
  <TotalTime>6</TotalTime>
  <Pages>11</Pages>
  <Words>3933</Words>
  <Characters>21157</Characters>
  <Application>Microsoft Office Word</Application>
  <DocSecurity>0</DocSecurity>
  <Lines>176</Lines>
  <Paragraphs>50</Paragraphs>
  <ScaleCrop>false</ScaleCrop>
  <HeadingPairs>
    <vt:vector size="2" baseType="variant">
      <vt:variant>
        <vt:lpstr>Title</vt:lpstr>
      </vt:variant>
      <vt:variant>
        <vt:i4>1</vt:i4>
      </vt:variant>
    </vt:vector>
  </HeadingPairs>
  <TitlesOfParts>
    <vt:vector size="1" baseType="lpstr">
      <vt:lpstr>insert name of Committee</vt:lpstr>
    </vt:vector>
  </TitlesOfParts>
  <Company>One Connect Limited</Company>
  <LinksUpToDate>false</LinksUpToDate>
  <CharactersWithSpaces>25040</CharactersWithSpaces>
  <SharedDoc>false</SharedDoc>
  <HLinks>
    <vt:vector size="6" baseType="variant">
      <vt:variant>
        <vt:i4>4587617</vt:i4>
      </vt:variant>
      <vt:variant>
        <vt:i4>0</vt:i4>
      </vt:variant>
      <vt:variant>
        <vt:i4>0</vt:i4>
      </vt:variant>
      <vt:variant>
        <vt:i4>5</vt:i4>
      </vt:variant>
      <vt:variant>
        <vt:lpwstr>mailto:Michael.Walder@lancashire.gov.uk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Committee</dc:title>
  <dc:subject/>
  <dc:creator>rdmcm</dc:creator>
  <cp:keywords/>
  <dc:description>August 2009</dc:description>
  <cp:lastModifiedBy>Parker, Sam</cp:lastModifiedBy>
  <cp:revision>5</cp:revision>
  <cp:lastPrinted>2017-02-24T12:38:00Z</cp:lastPrinted>
  <dcterms:created xsi:type="dcterms:W3CDTF">2017-02-27T16:30:00Z</dcterms:created>
  <dcterms:modified xsi:type="dcterms:W3CDTF">2017-02-27T16:35:00Z</dcterms:modified>
</cp:coreProperties>
</file>